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муниципальной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BF2926" w:rsidRPr="006E7F84">
        <w:rPr>
          <w:sz w:val="28"/>
          <w:szCs w:val="28"/>
        </w:rPr>
        <w:t>мо поселок</w:t>
      </w:r>
      <w:r w:rsidR="00F24941" w:rsidRPr="006E7F84">
        <w:rPr>
          <w:sz w:val="28"/>
          <w:szCs w:val="28"/>
        </w:rPr>
        <w:t xml:space="preserve"> Балахта</w:t>
      </w:r>
      <w:r>
        <w:rPr>
          <w:sz w:val="28"/>
          <w:szCs w:val="28"/>
        </w:rPr>
        <w:t xml:space="preserve"> на 2014-2016 годы»</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3665D2" w:rsidRPr="008E042E">
        <w:rPr>
          <w:sz w:val="28"/>
          <w:szCs w:val="28"/>
        </w:rPr>
        <w:t xml:space="preserve">Прочие мероприятия </w:t>
      </w:r>
      <w:r w:rsidR="00F24941">
        <w:rPr>
          <w:sz w:val="28"/>
          <w:szCs w:val="28"/>
        </w:rPr>
        <w:t xml:space="preserve"> </w:t>
      </w:r>
      <w:r w:rsidR="00BF2926">
        <w:rPr>
          <w:sz w:val="28"/>
          <w:szCs w:val="28"/>
        </w:rPr>
        <w:t>м</w:t>
      </w:r>
      <w:r w:rsidR="00EA26D8">
        <w:rPr>
          <w:sz w:val="28"/>
          <w:szCs w:val="28"/>
        </w:rPr>
        <w:t>униципального образования посел</w:t>
      </w:r>
      <w:r w:rsidR="00BF2926">
        <w:rPr>
          <w:sz w:val="28"/>
          <w:szCs w:val="28"/>
        </w:rPr>
        <w:t>ок</w:t>
      </w:r>
      <w:r w:rsidR="00F24941">
        <w:rPr>
          <w:sz w:val="28"/>
          <w:szCs w:val="28"/>
        </w:rPr>
        <w:t xml:space="preserve"> Балахта</w:t>
      </w:r>
      <w:r w:rsidRPr="008E042E">
        <w:rPr>
          <w:sz w:val="28"/>
          <w:szCs w:val="28"/>
        </w:rPr>
        <w:t xml:space="preserve"> 2014-2016 годы»</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BF2926">
        <w:rPr>
          <w:sz w:val="28"/>
          <w:szCs w:val="28"/>
        </w:rPr>
        <w:t>муниципального образования поселок</w:t>
      </w:r>
      <w:r w:rsidR="00F24941">
        <w:rPr>
          <w:sz w:val="28"/>
          <w:szCs w:val="28"/>
        </w:rPr>
        <w:t xml:space="preserve"> Балахта</w:t>
      </w:r>
      <w:r w:rsidR="0004761E" w:rsidRPr="008E042E">
        <w:rPr>
          <w:sz w:val="28"/>
          <w:szCs w:val="28"/>
        </w:rPr>
        <w:t xml:space="preserve"> на 2014-2016 годы</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EA26D8">
        <w:trPr>
          <w:trHeight w:val="1222"/>
        </w:trPr>
        <w:tc>
          <w:tcPr>
            <w:tcW w:w="2101" w:type="dxa"/>
          </w:tcPr>
          <w:p w:rsidR="0005299B" w:rsidRPr="005E7586" w:rsidRDefault="0005299B" w:rsidP="0081557D">
            <w:pPr>
              <w:jc w:val="both"/>
              <w:rPr>
                <w:sz w:val="28"/>
                <w:szCs w:val="28"/>
              </w:rPr>
            </w:pPr>
            <w:r>
              <w:rPr>
                <w:sz w:val="28"/>
                <w:szCs w:val="28"/>
              </w:rPr>
              <w:t>Наименование подпрограммы.</w:t>
            </w:r>
          </w:p>
        </w:tc>
        <w:tc>
          <w:tcPr>
            <w:tcW w:w="770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BF2926">
              <w:rPr>
                <w:sz w:val="28"/>
                <w:szCs w:val="28"/>
              </w:rPr>
              <w:t xml:space="preserve">мо поселок </w:t>
            </w:r>
            <w:r w:rsidR="00F24941">
              <w:rPr>
                <w:sz w:val="28"/>
                <w:szCs w:val="28"/>
              </w:rPr>
              <w:t xml:space="preserve"> Балахта</w:t>
            </w:r>
            <w:r w:rsidRPr="001F3C60">
              <w:rPr>
                <w:sz w:val="28"/>
                <w:szCs w:val="28"/>
              </w:rPr>
              <w:t xml:space="preserve"> 2014-2016 годы».</w:t>
            </w:r>
          </w:p>
          <w:p w:rsidR="0005299B" w:rsidRPr="00A20066" w:rsidRDefault="0005299B" w:rsidP="0081557D">
            <w:pPr>
              <w:jc w:val="both"/>
              <w:rPr>
                <w:sz w:val="28"/>
                <w:szCs w:val="28"/>
              </w:rPr>
            </w:pPr>
          </w:p>
        </w:tc>
      </w:tr>
      <w:tr w:rsidR="0005299B" w:rsidTr="00EA26D8">
        <w:trPr>
          <w:trHeight w:val="851"/>
        </w:trPr>
        <w:tc>
          <w:tcPr>
            <w:tcW w:w="2101" w:type="dxa"/>
          </w:tcPr>
          <w:p w:rsidR="0005299B" w:rsidRDefault="0005299B" w:rsidP="0081557D">
            <w:pPr>
              <w:jc w:val="both"/>
              <w:rPr>
                <w:sz w:val="32"/>
                <w:szCs w:val="32"/>
              </w:rPr>
            </w:pPr>
            <w:r>
              <w:rPr>
                <w:sz w:val="28"/>
                <w:szCs w:val="28"/>
              </w:rPr>
              <w:t>Наименование муниципальной программы.</w:t>
            </w:r>
          </w:p>
        </w:tc>
        <w:tc>
          <w:tcPr>
            <w:tcW w:w="7701" w:type="dxa"/>
          </w:tcPr>
          <w:p w:rsidR="0005299B" w:rsidRPr="00A20066" w:rsidRDefault="0004761E" w:rsidP="0081557D">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BF2926">
              <w:rPr>
                <w:sz w:val="28"/>
                <w:szCs w:val="28"/>
              </w:rPr>
              <w:t>мо поселок</w:t>
            </w:r>
            <w:r w:rsidR="00F24941">
              <w:rPr>
                <w:sz w:val="28"/>
                <w:szCs w:val="28"/>
              </w:rPr>
              <w:t xml:space="preserve"> Балахта</w:t>
            </w:r>
            <w:r>
              <w:rPr>
                <w:sz w:val="28"/>
                <w:szCs w:val="28"/>
              </w:rPr>
              <w:t xml:space="preserve"> на 2014-2016 годы»</w:t>
            </w:r>
          </w:p>
        </w:tc>
      </w:tr>
      <w:tr w:rsidR="0005299B" w:rsidTr="00EA26D8">
        <w:trPr>
          <w:trHeight w:val="748"/>
        </w:trPr>
        <w:tc>
          <w:tcPr>
            <w:tcW w:w="2101" w:type="dxa"/>
          </w:tcPr>
          <w:p w:rsidR="0005299B" w:rsidRDefault="0005299B" w:rsidP="0081557D">
            <w:pPr>
              <w:jc w:val="both"/>
              <w:rPr>
                <w:sz w:val="28"/>
                <w:szCs w:val="28"/>
              </w:rPr>
            </w:pPr>
            <w:r>
              <w:rPr>
                <w:sz w:val="28"/>
                <w:szCs w:val="28"/>
              </w:rPr>
              <w:t>Соисполнители подпрограммы</w:t>
            </w:r>
          </w:p>
        </w:tc>
        <w:tc>
          <w:tcPr>
            <w:tcW w:w="7701" w:type="dxa"/>
          </w:tcPr>
          <w:p w:rsidR="0005299B" w:rsidRDefault="0005299B" w:rsidP="0081557D">
            <w:pPr>
              <w:jc w:val="both"/>
              <w:rPr>
                <w:sz w:val="32"/>
                <w:szCs w:val="32"/>
              </w:rPr>
            </w:pPr>
          </w:p>
        </w:tc>
      </w:tr>
      <w:tr w:rsidR="0005299B" w:rsidTr="00EA26D8">
        <w:trPr>
          <w:trHeight w:val="415"/>
        </w:trPr>
        <w:tc>
          <w:tcPr>
            <w:tcW w:w="210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70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EC35A7">
              <w:rPr>
                <w:sz w:val="28"/>
                <w:szCs w:val="28"/>
              </w:rPr>
              <w:t>Обеспечение мероприятий по земле.</w:t>
            </w:r>
          </w:p>
          <w:p w:rsidR="00F24941" w:rsidRDefault="007E0988" w:rsidP="00F24941">
            <w:pPr>
              <w:jc w:val="both"/>
              <w:rPr>
                <w:sz w:val="28"/>
                <w:szCs w:val="28"/>
              </w:rPr>
            </w:pPr>
            <w:r>
              <w:rPr>
                <w:sz w:val="28"/>
                <w:szCs w:val="28"/>
              </w:rPr>
              <w:t xml:space="preserve">            3.</w:t>
            </w:r>
            <w:r w:rsidR="00F24941">
              <w:rPr>
                <w:sz w:val="28"/>
                <w:szCs w:val="28"/>
              </w:rPr>
              <w:t>Доплаты к пенсиям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окруж. среду, </w:t>
            </w:r>
            <w:r w:rsidR="00EE0051" w:rsidRPr="00EE0051">
              <w:rPr>
                <w:sz w:val="28"/>
                <w:szCs w:val="28"/>
              </w:rPr>
              <w:t>ежегодный членский взнос в Совет муниц.</w:t>
            </w:r>
            <w:r w:rsidR="00BE6537">
              <w:rPr>
                <w:sz w:val="28"/>
                <w:szCs w:val="28"/>
              </w:rPr>
              <w:t xml:space="preserve"> о</w:t>
            </w:r>
            <w:r w:rsidR="00EE0051" w:rsidRPr="00EE0051">
              <w:rPr>
                <w:sz w:val="28"/>
                <w:szCs w:val="28"/>
              </w:rPr>
              <w:t>бразований</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EA26D8">
        <w:trPr>
          <w:trHeight w:val="701"/>
        </w:trPr>
        <w:tc>
          <w:tcPr>
            <w:tcW w:w="2101" w:type="dxa"/>
          </w:tcPr>
          <w:p w:rsidR="0005299B" w:rsidRDefault="0005299B" w:rsidP="0081557D">
            <w:pPr>
              <w:jc w:val="both"/>
              <w:rPr>
                <w:sz w:val="28"/>
                <w:szCs w:val="28"/>
              </w:rPr>
            </w:pPr>
            <w:r>
              <w:rPr>
                <w:sz w:val="28"/>
                <w:szCs w:val="28"/>
              </w:rPr>
              <w:t>Целевые индикаторы.</w:t>
            </w:r>
          </w:p>
        </w:tc>
        <w:tc>
          <w:tcPr>
            <w:tcW w:w="770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EA26D8">
        <w:trPr>
          <w:trHeight w:val="769"/>
        </w:trPr>
        <w:tc>
          <w:tcPr>
            <w:tcW w:w="2101" w:type="dxa"/>
          </w:tcPr>
          <w:p w:rsidR="0005299B" w:rsidRDefault="0005299B" w:rsidP="0081557D">
            <w:pPr>
              <w:jc w:val="both"/>
              <w:rPr>
                <w:sz w:val="28"/>
                <w:szCs w:val="28"/>
              </w:rPr>
            </w:pPr>
            <w:r>
              <w:rPr>
                <w:sz w:val="28"/>
                <w:szCs w:val="28"/>
              </w:rPr>
              <w:t>Сроки реализации подпрограммы.</w:t>
            </w:r>
          </w:p>
        </w:tc>
        <w:tc>
          <w:tcPr>
            <w:tcW w:w="7701" w:type="dxa"/>
          </w:tcPr>
          <w:p w:rsidR="0005299B" w:rsidRDefault="0005299B" w:rsidP="0081557D">
            <w:pPr>
              <w:jc w:val="both"/>
              <w:rPr>
                <w:sz w:val="28"/>
                <w:szCs w:val="28"/>
              </w:rPr>
            </w:pPr>
            <w:r>
              <w:rPr>
                <w:sz w:val="28"/>
                <w:szCs w:val="28"/>
              </w:rPr>
              <w:t>2014-2016 годы.</w:t>
            </w:r>
          </w:p>
        </w:tc>
      </w:tr>
      <w:tr w:rsidR="0005299B" w:rsidTr="00EA26D8">
        <w:trPr>
          <w:trHeight w:val="813"/>
        </w:trPr>
        <w:tc>
          <w:tcPr>
            <w:tcW w:w="2101" w:type="dxa"/>
          </w:tcPr>
          <w:p w:rsidR="0005299B" w:rsidRDefault="0005299B" w:rsidP="0081557D">
            <w:pPr>
              <w:jc w:val="both"/>
              <w:rPr>
                <w:sz w:val="28"/>
                <w:szCs w:val="28"/>
              </w:rPr>
            </w:pPr>
            <w:r>
              <w:rPr>
                <w:sz w:val="28"/>
                <w:szCs w:val="28"/>
              </w:rPr>
              <w:t>Объемы и источники финансирования.</w:t>
            </w:r>
          </w:p>
        </w:tc>
        <w:tc>
          <w:tcPr>
            <w:tcW w:w="770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7E47EA">
              <w:rPr>
                <w:sz w:val="28"/>
                <w:szCs w:val="28"/>
              </w:rPr>
              <w:t>536,0</w:t>
            </w:r>
            <w:r w:rsidR="008053D6">
              <w:rPr>
                <w:sz w:val="28"/>
                <w:szCs w:val="28"/>
              </w:rPr>
              <w:t>тыс.руб.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05299B" w:rsidP="0081557D">
            <w:pPr>
              <w:rPr>
                <w:sz w:val="28"/>
                <w:szCs w:val="28"/>
              </w:rPr>
            </w:pPr>
            <w:r w:rsidRPr="008125A1">
              <w:rPr>
                <w:sz w:val="28"/>
                <w:szCs w:val="28"/>
              </w:rPr>
              <w:t>2014 год-</w:t>
            </w:r>
            <w:r w:rsidR="007E47EA">
              <w:rPr>
                <w:sz w:val="28"/>
                <w:szCs w:val="28"/>
              </w:rPr>
              <w:t>154,4</w:t>
            </w:r>
            <w:r w:rsidR="008053D6">
              <w:rPr>
                <w:sz w:val="28"/>
                <w:szCs w:val="28"/>
              </w:rPr>
              <w:t>тыс.руб.</w:t>
            </w:r>
          </w:p>
          <w:p w:rsidR="0005299B" w:rsidRPr="008125A1" w:rsidRDefault="0005299B" w:rsidP="0081557D">
            <w:pPr>
              <w:rPr>
                <w:sz w:val="28"/>
                <w:szCs w:val="28"/>
              </w:rPr>
            </w:pPr>
            <w:r w:rsidRPr="008125A1">
              <w:rPr>
                <w:sz w:val="28"/>
                <w:szCs w:val="28"/>
              </w:rPr>
              <w:t>2015 год-</w:t>
            </w:r>
            <w:r w:rsidR="00FE138E">
              <w:rPr>
                <w:sz w:val="28"/>
                <w:szCs w:val="28"/>
              </w:rPr>
              <w:t>19</w:t>
            </w:r>
            <w:r w:rsidR="00E436FA">
              <w:rPr>
                <w:sz w:val="28"/>
                <w:szCs w:val="28"/>
              </w:rPr>
              <w:t>0</w:t>
            </w:r>
            <w:r w:rsidR="00F24941">
              <w:rPr>
                <w:sz w:val="28"/>
                <w:szCs w:val="28"/>
              </w:rPr>
              <w:t>,8</w:t>
            </w:r>
            <w:r w:rsidR="008053D6">
              <w:rPr>
                <w:sz w:val="28"/>
                <w:szCs w:val="28"/>
              </w:rPr>
              <w:t>тыс.руб.</w:t>
            </w:r>
          </w:p>
          <w:p w:rsidR="0005299B" w:rsidRDefault="0005299B" w:rsidP="00F24941">
            <w:pPr>
              <w:rPr>
                <w:sz w:val="28"/>
                <w:szCs w:val="28"/>
              </w:rPr>
            </w:pPr>
            <w:r w:rsidRPr="008125A1">
              <w:rPr>
                <w:sz w:val="28"/>
                <w:szCs w:val="28"/>
              </w:rPr>
              <w:t>2016 год-</w:t>
            </w:r>
            <w:r w:rsidR="00FE138E">
              <w:rPr>
                <w:sz w:val="28"/>
                <w:szCs w:val="28"/>
              </w:rPr>
              <w:t>19</w:t>
            </w:r>
            <w:r w:rsidR="00E436FA">
              <w:rPr>
                <w:sz w:val="28"/>
                <w:szCs w:val="28"/>
              </w:rPr>
              <w:t>0</w:t>
            </w:r>
            <w:r w:rsidR="00F24941">
              <w:rPr>
                <w:sz w:val="28"/>
                <w:szCs w:val="28"/>
              </w:rPr>
              <w:t>,8</w:t>
            </w:r>
            <w:r w:rsidR="008053D6">
              <w:rPr>
                <w:sz w:val="28"/>
                <w:szCs w:val="28"/>
              </w:rPr>
              <w:t>тыс.руб.</w:t>
            </w:r>
          </w:p>
          <w:p w:rsidR="008053D6" w:rsidRPr="00AF4ECF" w:rsidRDefault="008053D6" w:rsidP="008053D6">
            <w:pPr>
              <w:rPr>
                <w:sz w:val="28"/>
                <w:szCs w:val="28"/>
              </w:rPr>
            </w:pPr>
            <w:r w:rsidRPr="00AF4ECF">
              <w:rPr>
                <w:sz w:val="28"/>
                <w:szCs w:val="28"/>
              </w:rPr>
              <w:t>Из них по источникам финансирования:</w:t>
            </w:r>
          </w:p>
          <w:p w:rsidR="008053D6" w:rsidRPr="00AF4ECF" w:rsidRDefault="008053D6" w:rsidP="008053D6">
            <w:pPr>
              <w:rPr>
                <w:sz w:val="28"/>
                <w:szCs w:val="28"/>
              </w:rPr>
            </w:pPr>
            <w:r>
              <w:rPr>
                <w:sz w:val="28"/>
                <w:szCs w:val="28"/>
              </w:rPr>
              <w:lastRenderedPageBreak/>
              <w:t>Бюджет поселка Балахта</w:t>
            </w:r>
            <w:r w:rsidRPr="00AF4ECF">
              <w:rPr>
                <w:sz w:val="28"/>
                <w:szCs w:val="28"/>
              </w:rPr>
              <w:t>-</w:t>
            </w:r>
          </w:p>
          <w:p w:rsidR="008053D6" w:rsidRPr="00AF4ECF" w:rsidRDefault="008053D6" w:rsidP="008053D6">
            <w:pPr>
              <w:rPr>
                <w:sz w:val="28"/>
                <w:szCs w:val="28"/>
              </w:rPr>
            </w:pPr>
            <w:r w:rsidRPr="00AF4ECF">
              <w:rPr>
                <w:sz w:val="28"/>
                <w:szCs w:val="28"/>
              </w:rPr>
              <w:t>2014 год-</w:t>
            </w:r>
            <w:r w:rsidR="007E47EA">
              <w:rPr>
                <w:sz w:val="28"/>
                <w:szCs w:val="28"/>
              </w:rPr>
              <w:t>154,4</w:t>
            </w:r>
            <w:r>
              <w:rPr>
                <w:sz w:val="28"/>
                <w:szCs w:val="28"/>
              </w:rPr>
              <w:t>тыс.руб.</w:t>
            </w:r>
          </w:p>
          <w:p w:rsidR="008053D6" w:rsidRPr="00AF4ECF" w:rsidRDefault="008053D6" w:rsidP="008053D6">
            <w:pPr>
              <w:rPr>
                <w:sz w:val="28"/>
                <w:szCs w:val="28"/>
              </w:rPr>
            </w:pPr>
            <w:r w:rsidRPr="00AF4ECF">
              <w:rPr>
                <w:sz w:val="28"/>
                <w:szCs w:val="28"/>
              </w:rPr>
              <w:t>2015 год-</w:t>
            </w:r>
            <w:r>
              <w:rPr>
                <w:sz w:val="28"/>
                <w:szCs w:val="28"/>
              </w:rPr>
              <w:t>190,8тыс.руб.</w:t>
            </w:r>
          </w:p>
          <w:p w:rsidR="008053D6" w:rsidRDefault="008053D6" w:rsidP="008053D6">
            <w:pPr>
              <w:rPr>
                <w:sz w:val="28"/>
                <w:szCs w:val="28"/>
              </w:rPr>
            </w:pPr>
            <w:r w:rsidRPr="00AF4ECF">
              <w:rPr>
                <w:sz w:val="28"/>
                <w:szCs w:val="28"/>
              </w:rPr>
              <w:t>2016 год-</w:t>
            </w:r>
            <w:r>
              <w:rPr>
                <w:sz w:val="28"/>
                <w:szCs w:val="28"/>
              </w:rPr>
              <w:t>190,8тыс.руб.</w:t>
            </w:r>
          </w:p>
        </w:tc>
      </w:tr>
      <w:tr w:rsidR="0005299B" w:rsidTr="00EA26D8">
        <w:trPr>
          <w:trHeight w:val="813"/>
        </w:trPr>
        <w:tc>
          <w:tcPr>
            <w:tcW w:w="2101" w:type="dxa"/>
          </w:tcPr>
          <w:p w:rsidR="0005299B" w:rsidRDefault="0005299B" w:rsidP="0081557D">
            <w:pPr>
              <w:jc w:val="both"/>
              <w:rPr>
                <w:sz w:val="28"/>
                <w:szCs w:val="28"/>
              </w:rPr>
            </w:pPr>
            <w:r>
              <w:rPr>
                <w:sz w:val="28"/>
                <w:szCs w:val="28"/>
              </w:rPr>
              <w:lastRenderedPageBreak/>
              <w:t>Система организации контроля за исполнением подпрограммы.</w:t>
            </w:r>
          </w:p>
          <w:p w:rsidR="0005299B" w:rsidRDefault="0005299B" w:rsidP="0081557D">
            <w:pPr>
              <w:jc w:val="both"/>
              <w:rPr>
                <w:sz w:val="28"/>
                <w:szCs w:val="28"/>
              </w:rPr>
            </w:pPr>
          </w:p>
        </w:tc>
        <w:tc>
          <w:tcPr>
            <w:tcW w:w="7701" w:type="dxa"/>
          </w:tcPr>
          <w:p w:rsidR="0005299B" w:rsidRDefault="0005299B" w:rsidP="0081557D">
            <w:pPr>
              <w:jc w:val="both"/>
              <w:rPr>
                <w:sz w:val="28"/>
                <w:szCs w:val="28"/>
              </w:rPr>
            </w:pPr>
            <w:r>
              <w:rPr>
                <w:sz w:val="28"/>
                <w:szCs w:val="28"/>
              </w:rPr>
              <w:t>Контроль за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 ,</w:t>
      </w:r>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правоудостоверяющих документов; </w:t>
      </w:r>
    </w:p>
    <w:p w:rsidR="00B36B0A" w:rsidRDefault="00B36B0A" w:rsidP="00F24941">
      <w:pPr>
        <w:jc w:val="both"/>
        <w:rPr>
          <w:sz w:val="28"/>
          <w:szCs w:val="28"/>
        </w:rPr>
      </w:pPr>
      <w:r>
        <w:rPr>
          <w:sz w:val="28"/>
          <w:szCs w:val="28"/>
        </w:rPr>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lastRenderedPageBreak/>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Необходимо осуществление финансового контроля за использованием бюджета сельсовета, в порядке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повышение уровня жизни населения муниципальных образований  Красноярского края.</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lastRenderedPageBreak/>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r w:rsidRPr="000F1159">
        <w:rPr>
          <w:sz w:val="28"/>
          <w:szCs w:val="28"/>
        </w:rPr>
        <w:t xml:space="preserve">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0F1159" w:rsidRDefault="000F1159" w:rsidP="000F1159">
      <w:pPr>
        <w:ind w:firstLine="851"/>
        <w:jc w:val="both"/>
        <w:rPr>
          <w:sz w:val="28"/>
          <w:szCs w:val="28"/>
        </w:rPr>
      </w:pPr>
    </w:p>
    <w:p w:rsidR="000F1159" w:rsidRPr="00993AE6"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окруж. среду, </w:t>
      </w:r>
      <w:r w:rsidRPr="00EE0051">
        <w:rPr>
          <w:sz w:val="28"/>
          <w:szCs w:val="28"/>
        </w:rPr>
        <w:t>ежегодный членский взнос в Совет муниц.</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2.4. Управление подпрограммой и контроль  за ходом ее реализации</w:t>
      </w:r>
      <w:r w:rsidR="0005299B">
        <w:rPr>
          <w:sz w:val="28"/>
          <w:szCs w:val="28"/>
        </w:rPr>
        <w:t>.</w:t>
      </w:r>
    </w:p>
    <w:p w:rsidR="00F04630" w:rsidRDefault="00F04630" w:rsidP="00F24941">
      <w:pPr>
        <w:jc w:val="both"/>
        <w:rPr>
          <w:sz w:val="28"/>
          <w:szCs w:val="28"/>
        </w:rPr>
      </w:pPr>
      <w:r>
        <w:rPr>
          <w:sz w:val="28"/>
          <w:szCs w:val="28"/>
        </w:rPr>
        <w:t>Управление подпрограммой и контроль за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lastRenderedPageBreak/>
        <w:t>Реализация подпрограммы позволит усилить контроль за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замещавших муниципальные должности муниципальной службы, путем ежемесячно</w:t>
      </w:r>
      <w:r w:rsidR="00D3758B">
        <w:rPr>
          <w:color w:val="000000"/>
          <w:sz w:val="28"/>
          <w:szCs w:val="28"/>
        </w:rPr>
        <w:t>го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t>п/п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FF55D2">
              <w:rPr>
                <w:rFonts w:ascii="Times New Roman" w:hAnsi="Times New Roman" w:cs="Times New Roman"/>
                <w:sz w:val="23"/>
                <w:szCs w:val="23"/>
                <w:lang w:eastAsia="en-US"/>
              </w:rPr>
              <w:t xml:space="preserve">2012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FF55D2">
              <w:rPr>
                <w:rFonts w:ascii="Times New Roman" w:hAnsi="Times New Roman" w:cs="Times New Roman"/>
                <w:sz w:val="23"/>
                <w:szCs w:val="23"/>
                <w:lang w:eastAsia="en-US"/>
              </w:rPr>
              <w:t xml:space="preserve"> 2013</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FF55D2">
              <w:rPr>
                <w:rFonts w:ascii="Times New Roman" w:hAnsi="Times New Roman" w:cs="Times New Roman"/>
                <w:sz w:val="23"/>
                <w:szCs w:val="23"/>
                <w:lang w:eastAsia="en-US"/>
              </w:rPr>
              <w:t>2014</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плата за негативное воздействие на окруж.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ежегодный членский взнос в Совет муниц.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180" w:type="dxa"/>
        <w:tblInd w:w="93" w:type="dxa"/>
        <w:tblLayout w:type="fixed"/>
        <w:tblLook w:val="04A0"/>
      </w:tblPr>
      <w:tblGrid>
        <w:gridCol w:w="2283"/>
        <w:gridCol w:w="1630"/>
        <w:gridCol w:w="991"/>
        <w:gridCol w:w="851"/>
        <w:gridCol w:w="992"/>
        <w:gridCol w:w="851"/>
        <w:gridCol w:w="1417"/>
        <w:gridCol w:w="1417"/>
        <w:gridCol w:w="1276"/>
        <w:gridCol w:w="1276"/>
        <w:gridCol w:w="2196"/>
      </w:tblGrid>
      <w:tr w:rsidR="00AD3D59" w:rsidTr="0081557D">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685"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81557D">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РзПр</w:t>
            </w:r>
          </w:p>
        </w:tc>
        <w:tc>
          <w:tcPr>
            <w:tcW w:w="992"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81557D">
        <w:trPr>
          <w:trHeight w:val="360"/>
        </w:trPr>
        <w:tc>
          <w:tcPr>
            <w:tcW w:w="15180"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p>
        </w:tc>
      </w:tr>
      <w:tr w:rsidR="00E60BEB" w:rsidTr="0081557D">
        <w:trPr>
          <w:trHeight w:val="360"/>
        </w:trPr>
        <w:tc>
          <w:tcPr>
            <w:tcW w:w="15180"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 xml:space="preserve">Задача1 </w:t>
            </w:r>
            <w:r>
              <w:t>Обеспечение проведения финансового контроля</w:t>
            </w:r>
          </w:p>
          <w:p w:rsidR="00E60BEB" w:rsidRPr="00E60BEB" w:rsidRDefault="00E60BEB" w:rsidP="00E60BEB">
            <w:pPr>
              <w:jc w:val="both"/>
              <w:rPr>
                <w:b/>
              </w:rPr>
            </w:pPr>
          </w:p>
        </w:tc>
      </w:tr>
      <w:tr w:rsidR="00AD3D59" w:rsidTr="0081557D">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E60BEB" w:rsidP="007C44D6">
            <w:pPr>
              <w:jc w:val="both"/>
              <w:rPr>
                <w:b/>
              </w:rPr>
            </w:pPr>
            <w:r>
              <w:rPr>
                <w:b/>
              </w:rPr>
              <w:t>Мероприятие 1.1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992"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276" w:type="dxa"/>
            <w:tcBorders>
              <w:top w:val="single" w:sz="4" w:space="0" w:color="auto"/>
              <w:left w:val="nil"/>
              <w:bottom w:val="single" w:sz="4" w:space="0" w:color="auto"/>
              <w:right w:val="single" w:sz="4" w:space="0" w:color="auto"/>
            </w:tcBorders>
            <w:noWrap/>
            <w:hideMark/>
          </w:tcPr>
          <w:p w:rsidR="00AD3D59" w:rsidRDefault="00DF6774" w:rsidP="0081557D">
            <w:pPr>
              <w:jc w:val="both"/>
            </w:pPr>
            <w:r>
              <w:t>9,4</w:t>
            </w:r>
          </w:p>
        </w:tc>
        <w:tc>
          <w:tcPr>
            <w:tcW w:w="1276" w:type="dxa"/>
            <w:tcBorders>
              <w:top w:val="single" w:sz="4" w:space="0" w:color="auto"/>
              <w:left w:val="nil"/>
              <w:bottom w:val="single" w:sz="4" w:space="0" w:color="auto"/>
              <w:right w:val="single" w:sz="4" w:space="0" w:color="auto"/>
            </w:tcBorders>
          </w:tcPr>
          <w:p w:rsidR="00AD3D59" w:rsidRDefault="00DF6774" w:rsidP="0081557D">
            <w:pPr>
              <w:jc w:val="both"/>
            </w:pPr>
            <w:r>
              <w:t>28,2</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bookmarkStart w:id="0" w:name="_GoBack"/>
            <w:bookmarkEnd w:id="0"/>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E33078">
        <w:trPr>
          <w:trHeight w:val="360"/>
        </w:trPr>
        <w:tc>
          <w:tcPr>
            <w:tcW w:w="15180"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Обеспечение мероприятий по земле</w:t>
            </w:r>
          </w:p>
          <w:p w:rsidR="00E60BEB" w:rsidRPr="00E60BEB" w:rsidRDefault="00E60BEB" w:rsidP="0081557D">
            <w:pPr>
              <w:jc w:val="both"/>
              <w:rPr>
                <w:b/>
                <w:color w:val="000000" w:themeColor="text1"/>
              </w:rPr>
            </w:pPr>
          </w:p>
        </w:tc>
      </w:tr>
      <w:tr w:rsidR="00AD3D59"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992"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7E47EA" w:rsidRDefault="007E47EA" w:rsidP="0081557D">
            <w:pPr>
              <w:jc w:val="both"/>
              <w:rPr>
                <w:color w:val="FF0000"/>
              </w:rPr>
            </w:pPr>
            <w:r w:rsidRPr="007E47EA">
              <w:rPr>
                <w:color w:val="FF0000"/>
              </w:rPr>
              <w:t>72,1</w:t>
            </w:r>
          </w:p>
        </w:tc>
        <w:tc>
          <w:tcPr>
            <w:tcW w:w="1417" w:type="dxa"/>
            <w:tcBorders>
              <w:top w:val="single" w:sz="4" w:space="0" w:color="auto"/>
              <w:left w:val="nil"/>
              <w:bottom w:val="single" w:sz="4" w:space="0" w:color="auto"/>
              <w:right w:val="single" w:sz="4" w:space="0" w:color="auto"/>
            </w:tcBorders>
            <w:noWrap/>
            <w:hideMark/>
          </w:tcPr>
          <w:p w:rsidR="00AD3D59" w:rsidRDefault="00DF6774" w:rsidP="0081557D">
            <w:pPr>
              <w:jc w:val="both"/>
            </w:pPr>
            <w:r>
              <w:t>81,4</w:t>
            </w:r>
          </w:p>
        </w:tc>
        <w:tc>
          <w:tcPr>
            <w:tcW w:w="1276" w:type="dxa"/>
            <w:tcBorders>
              <w:top w:val="single" w:sz="4" w:space="0" w:color="auto"/>
              <w:left w:val="nil"/>
              <w:bottom w:val="single" w:sz="4" w:space="0" w:color="auto"/>
              <w:right w:val="single" w:sz="4" w:space="0" w:color="auto"/>
            </w:tcBorders>
            <w:noWrap/>
            <w:hideMark/>
          </w:tcPr>
          <w:p w:rsidR="00AD3D59" w:rsidRDefault="00DF6774" w:rsidP="0081557D">
            <w:pPr>
              <w:jc w:val="both"/>
            </w:pPr>
            <w:r>
              <w:t>81,4</w:t>
            </w:r>
          </w:p>
        </w:tc>
        <w:tc>
          <w:tcPr>
            <w:tcW w:w="1276" w:type="dxa"/>
            <w:tcBorders>
              <w:top w:val="single" w:sz="4" w:space="0" w:color="auto"/>
              <w:left w:val="nil"/>
              <w:bottom w:val="single" w:sz="4" w:space="0" w:color="auto"/>
              <w:right w:val="single" w:sz="4" w:space="0" w:color="auto"/>
            </w:tcBorders>
          </w:tcPr>
          <w:p w:rsidR="00AD3D59" w:rsidRPr="007E47EA" w:rsidRDefault="007E47EA" w:rsidP="0081557D">
            <w:pPr>
              <w:jc w:val="both"/>
              <w:rPr>
                <w:color w:val="FF0000"/>
              </w:rPr>
            </w:pPr>
            <w:r w:rsidRPr="007E47EA">
              <w:rPr>
                <w:color w:val="FF0000"/>
              </w:rPr>
              <w:t>234,9</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E06674">
        <w:trPr>
          <w:trHeight w:val="300"/>
        </w:trPr>
        <w:tc>
          <w:tcPr>
            <w:tcW w:w="15180"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ачисление доплаты к пенсиям муниципальным служащим</w:t>
            </w:r>
            <w:r w:rsidRPr="00D3758B">
              <w:rPr>
                <w:b/>
              </w:rPr>
              <w:t xml:space="preserve">                           </w:t>
            </w:r>
          </w:p>
        </w:tc>
      </w:tr>
      <w:tr w:rsidR="00DF6774"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DF6774" w:rsidRPr="00D3758B">
              <w:t xml:space="preserve">доплаты к пенсиям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992"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9B395B" w:rsidP="0081557D">
            <w:pPr>
              <w:jc w:val="both"/>
            </w:pPr>
            <w:r>
              <w:t>57,9</w:t>
            </w:r>
          </w:p>
        </w:tc>
        <w:tc>
          <w:tcPr>
            <w:tcW w:w="1417" w:type="dxa"/>
            <w:tcBorders>
              <w:top w:val="single" w:sz="4" w:space="0" w:color="auto"/>
              <w:left w:val="nil"/>
              <w:bottom w:val="single" w:sz="4" w:space="0" w:color="auto"/>
              <w:right w:val="single" w:sz="4" w:space="0" w:color="auto"/>
            </w:tcBorders>
            <w:noWrap/>
            <w:hideMark/>
          </w:tcPr>
          <w:p w:rsidR="00DF6774" w:rsidRPr="00DF6774" w:rsidRDefault="00DF6774" w:rsidP="0081557D">
            <w:pPr>
              <w:jc w:val="both"/>
            </w:pPr>
            <w:r w:rsidRPr="00DF6774">
              <w:t>85,0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DF6774" w:rsidP="0081557D">
            <w:pPr>
              <w:jc w:val="both"/>
            </w:pPr>
            <w:r>
              <w:t>85,0</w:t>
            </w:r>
          </w:p>
        </w:tc>
        <w:tc>
          <w:tcPr>
            <w:tcW w:w="1276" w:type="dxa"/>
            <w:tcBorders>
              <w:top w:val="single" w:sz="4" w:space="0" w:color="auto"/>
              <w:left w:val="nil"/>
              <w:bottom w:val="single" w:sz="4" w:space="0" w:color="auto"/>
              <w:right w:val="single" w:sz="4" w:space="0" w:color="auto"/>
            </w:tcBorders>
          </w:tcPr>
          <w:p w:rsidR="00DF6774" w:rsidRPr="009F0477" w:rsidRDefault="00DF6774" w:rsidP="0081557D">
            <w:pPr>
              <w:jc w:val="both"/>
            </w:pPr>
            <w:r>
              <w:t>2</w:t>
            </w:r>
            <w:r w:rsidR="009B395B">
              <w:t>27,9</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2F671F">
        <w:trPr>
          <w:trHeight w:val="300"/>
        </w:trPr>
        <w:tc>
          <w:tcPr>
            <w:tcW w:w="15180"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BE6537">
              <w:lastRenderedPageBreak/>
              <w:t>Задача 4. Прочие мероприятия (плата за негативное воздействие на окруж. среду, ежегодный членский взнос в Совет муниц. образований)</w:t>
            </w: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плата за негативное воздействие на окруж. среду</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992"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10,0</w:t>
            </w:r>
          </w:p>
        </w:tc>
        <w:tc>
          <w:tcPr>
            <w:tcW w:w="1276" w:type="dxa"/>
            <w:tcBorders>
              <w:top w:val="single" w:sz="4" w:space="0" w:color="auto"/>
              <w:left w:val="nil"/>
              <w:bottom w:val="single" w:sz="4" w:space="0" w:color="auto"/>
              <w:right w:val="single" w:sz="4" w:space="0" w:color="auto"/>
            </w:tcBorders>
          </w:tcPr>
          <w:p w:rsidR="00A926B1" w:rsidRDefault="00FE138E" w:rsidP="0081557D">
            <w:pPr>
              <w:jc w:val="both"/>
            </w:pPr>
            <w:r>
              <w:t>3</w:t>
            </w:r>
            <w:r w:rsidR="00A926B1">
              <w:t>0,0</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ежегодный членский взнос в Совет муниц. образований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992"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CD372F"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5,0</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5,0</w:t>
            </w:r>
          </w:p>
        </w:tc>
        <w:tc>
          <w:tcPr>
            <w:tcW w:w="1276" w:type="dxa"/>
            <w:tcBorders>
              <w:top w:val="single" w:sz="4" w:space="0" w:color="auto"/>
              <w:left w:val="nil"/>
              <w:bottom w:val="single" w:sz="4" w:space="0" w:color="auto"/>
              <w:right w:val="single" w:sz="4" w:space="0" w:color="auto"/>
            </w:tcBorders>
          </w:tcPr>
          <w:p w:rsidR="00A926B1" w:rsidRDefault="00FE138E" w:rsidP="0081557D">
            <w:pPr>
              <w:jc w:val="both"/>
            </w:pPr>
            <w:r>
              <w:t>15,0</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Default="00A926B1" w:rsidP="0081557D">
            <w:pPr>
              <w:jc w:val="both"/>
            </w:pPr>
          </w:p>
        </w:tc>
        <w:tc>
          <w:tcPr>
            <w:tcW w:w="1630" w:type="dxa"/>
            <w:tcBorders>
              <w:top w:val="single" w:sz="4" w:space="0" w:color="auto"/>
              <w:left w:val="nil"/>
              <w:bottom w:val="single" w:sz="4" w:space="0" w:color="auto"/>
              <w:right w:val="single" w:sz="4" w:space="0" w:color="auto"/>
            </w:tcBorders>
            <w:hideMark/>
          </w:tcPr>
          <w:p w:rsidR="00A926B1" w:rsidRDefault="00A926B1" w:rsidP="0081557D">
            <w:pPr>
              <w:jc w:val="both"/>
            </w:pPr>
          </w:p>
        </w:tc>
        <w:tc>
          <w:tcPr>
            <w:tcW w:w="991"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992"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p>
        </w:tc>
        <w:tc>
          <w:tcPr>
            <w:tcW w:w="1276" w:type="dxa"/>
            <w:tcBorders>
              <w:top w:val="single" w:sz="4" w:space="0" w:color="auto"/>
              <w:left w:val="nil"/>
              <w:bottom w:val="single" w:sz="4" w:space="0" w:color="auto"/>
              <w:right w:val="single" w:sz="4" w:space="0" w:color="auto"/>
            </w:tcBorders>
          </w:tcPr>
          <w:p w:rsidR="00A926B1" w:rsidRDefault="00A926B1" w:rsidP="0081557D">
            <w:pPr>
              <w:jc w:val="both"/>
            </w:pP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A926B1" w:rsidTr="0081557D">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Default="00A926B1"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992"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851" w:type="dxa"/>
            <w:tcBorders>
              <w:top w:val="single" w:sz="4" w:space="0" w:color="auto"/>
              <w:left w:val="nil"/>
              <w:bottom w:val="single" w:sz="4" w:space="0" w:color="auto"/>
              <w:right w:val="single" w:sz="4" w:space="0" w:color="auto"/>
            </w:tcBorders>
            <w:noWrap/>
            <w:hideMark/>
          </w:tcPr>
          <w:p w:rsidR="00A926B1" w:rsidRDefault="00A926B1" w:rsidP="006E7671">
            <w:pPr>
              <w:jc w:val="both"/>
            </w:pPr>
          </w:p>
        </w:tc>
        <w:tc>
          <w:tcPr>
            <w:tcW w:w="1417" w:type="dxa"/>
            <w:tcBorders>
              <w:top w:val="single" w:sz="4" w:space="0" w:color="auto"/>
              <w:left w:val="nil"/>
              <w:bottom w:val="single" w:sz="4" w:space="0" w:color="auto"/>
              <w:right w:val="single" w:sz="4" w:space="0" w:color="auto"/>
            </w:tcBorders>
            <w:noWrap/>
            <w:hideMark/>
          </w:tcPr>
          <w:p w:rsidR="00A926B1" w:rsidRDefault="007E47EA" w:rsidP="006E7671">
            <w:pPr>
              <w:jc w:val="both"/>
            </w:pPr>
            <w:r>
              <w:t>154,4</w:t>
            </w:r>
          </w:p>
        </w:tc>
        <w:tc>
          <w:tcPr>
            <w:tcW w:w="1417" w:type="dxa"/>
            <w:tcBorders>
              <w:top w:val="single" w:sz="4" w:space="0" w:color="auto"/>
              <w:left w:val="nil"/>
              <w:bottom w:val="single" w:sz="4" w:space="0" w:color="auto"/>
              <w:right w:val="single" w:sz="4" w:space="0" w:color="auto"/>
            </w:tcBorders>
            <w:noWrap/>
            <w:hideMark/>
          </w:tcPr>
          <w:p w:rsidR="00A926B1" w:rsidRDefault="00FE138E" w:rsidP="006E7671">
            <w:pPr>
              <w:jc w:val="both"/>
            </w:pPr>
            <w:r>
              <w:t>19</w:t>
            </w:r>
            <w:r w:rsidR="00E436FA">
              <w:t>0,8</w:t>
            </w:r>
          </w:p>
        </w:tc>
        <w:tc>
          <w:tcPr>
            <w:tcW w:w="1276" w:type="dxa"/>
            <w:tcBorders>
              <w:top w:val="single" w:sz="4" w:space="0" w:color="auto"/>
              <w:left w:val="nil"/>
              <w:bottom w:val="single" w:sz="4" w:space="0" w:color="auto"/>
              <w:right w:val="single" w:sz="4" w:space="0" w:color="auto"/>
            </w:tcBorders>
            <w:noWrap/>
            <w:hideMark/>
          </w:tcPr>
          <w:p w:rsidR="00A926B1" w:rsidRDefault="00FE138E" w:rsidP="006E7671">
            <w:pPr>
              <w:jc w:val="both"/>
            </w:pPr>
            <w:r>
              <w:t>190</w:t>
            </w:r>
            <w:r w:rsidR="00E436FA">
              <w:t>,8</w:t>
            </w:r>
          </w:p>
        </w:tc>
        <w:tc>
          <w:tcPr>
            <w:tcW w:w="1276" w:type="dxa"/>
            <w:tcBorders>
              <w:top w:val="single" w:sz="4" w:space="0" w:color="auto"/>
              <w:left w:val="nil"/>
              <w:bottom w:val="single" w:sz="4" w:space="0" w:color="auto"/>
              <w:right w:val="single" w:sz="4" w:space="0" w:color="auto"/>
            </w:tcBorders>
          </w:tcPr>
          <w:p w:rsidR="00A926B1" w:rsidRDefault="00FE138E" w:rsidP="006E7671">
            <w:pPr>
              <w:jc w:val="both"/>
            </w:pPr>
            <w:r>
              <w:t>5</w:t>
            </w:r>
            <w:r w:rsidR="009B395B">
              <w:t>45,3</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7C44D6" w:rsidRDefault="007C44D6" w:rsidP="009B076F"/>
    <w:sectPr w:rsidR="007C44D6"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642" w:rsidRDefault="00887642" w:rsidP="008E042E">
      <w:r>
        <w:separator/>
      </w:r>
    </w:p>
  </w:endnote>
  <w:endnote w:type="continuationSeparator" w:id="0">
    <w:p w:rsidR="00887642" w:rsidRDefault="00887642"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642" w:rsidRDefault="00887642" w:rsidP="008E042E">
      <w:r>
        <w:separator/>
      </w:r>
    </w:p>
  </w:footnote>
  <w:footnote w:type="continuationSeparator" w:id="0">
    <w:p w:rsidR="00887642" w:rsidRDefault="00887642"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1</Pages>
  <Words>2076</Words>
  <Characters>11838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cp:lastModifiedBy>
  <cp:revision>83</cp:revision>
  <cp:lastPrinted>2014-06-09T01:04:00Z</cp:lastPrinted>
  <dcterms:created xsi:type="dcterms:W3CDTF">2013-10-21T03:40:00Z</dcterms:created>
  <dcterms:modified xsi:type="dcterms:W3CDTF">2014-06-24T08:28:00Z</dcterms:modified>
</cp:coreProperties>
</file>