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6C" w:rsidRPr="009C70A9" w:rsidRDefault="0027436C" w:rsidP="00F8533C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  <w:r w:rsidRPr="009C70A9">
        <w:rPr>
          <w:spacing w:val="100"/>
          <w:sz w:val="24"/>
          <w:szCs w:val="24"/>
        </w:rPr>
        <w:t>Красноярский край</w:t>
      </w:r>
    </w:p>
    <w:p w:rsidR="00405BE2" w:rsidRPr="009C70A9" w:rsidRDefault="00405BE2" w:rsidP="00F8533C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</w:p>
    <w:p w:rsidR="00405BE2" w:rsidRPr="009C70A9" w:rsidRDefault="00405BE2" w:rsidP="00F8533C">
      <w:pPr>
        <w:ind w:left="-142" w:right="-143"/>
        <w:jc w:val="center"/>
        <w:rPr>
          <w:rFonts w:ascii="Arial" w:hAnsi="Arial" w:cs="Arial"/>
          <w:sz w:val="24"/>
          <w:szCs w:val="24"/>
        </w:rPr>
      </w:pPr>
      <w:r w:rsidRPr="009C70A9">
        <w:rPr>
          <w:rFonts w:ascii="Arial" w:hAnsi="Arial" w:cs="Arial"/>
          <w:sz w:val="24"/>
          <w:szCs w:val="24"/>
        </w:rPr>
        <w:t>БАЛАХТИНСКИЙ РАЙОН</w:t>
      </w:r>
    </w:p>
    <w:p w:rsidR="0027436C" w:rsidRPr="009C70A9" w:rsidRDefault="0027436C" w:rsidP="00F8533C">
      <w:pPr>
        <w:tabs>
          <w:tab w:val="left" w:pos="-2410"/>
          <w:tab w:val="left" w:pos="567"/>
        </w:tabs>
        <w:ind w:left="-142" w:right="-143"/>
        <w:jc w:val="center"/>
        <w:rPr>
          <w:rFonts w:ascii="Arial" w:hAnsi="Arial" w:cs="Arial"/>
          <w:sz w:val="24"/>
          <w:szCs w:val="24"/>
        </w:rPr>
      </w:pPr>
    </w:p>
    <w:p w:rsidR="0027436C" w:rsidRPr="009C70A9" w:rsidRDefault="004E5197" w:rsidP="009C70A9">
      <w:pPr>
        <w:pStyle w:val="3"/>
        <w:tabs>
          <w:tab w:val="left" w:pos="-2410"/>
          <w:tab w:val="left" w:pos="284"/>
          <w:tab w:val="left" w:pos="567"/>
          <w:tab w:val="left" w:pos="709"/>
        </w:tabs>
        <w:ind w:left="-142" w:right="-143"/>
        <w:rPr>
          <w:rFonts w:ascii="Arial" w:hAnsi="Arial" w:cs="Arial"/>
          <w:sz w:val="24"/>
          <w:szCs w:val="24"/>
        </w:rPr>
      </w:pPr>
      <w:r w:rsidRPr="009C70A9">
        <w:rPr>
          <w:rFonts w:ascii="Arial" w:hAnsi="Arial" w:cs="Arial"/>
          <w:sz w:val="24"/>
          <w:szCs w:val="24"/>
        </w:rPr>
        <w:t>БАЛАХТИНСКИЙ ПОСЕЛКОВЫЙ</w:t>
      </w:r>
      <w:r w:rsidR="0027436C" w:rsidRPr="009C70A9">
        <w:rPr>
          <w:rFonts w:ascii="Arial" w:hAnsi="Arial" w:cs="Arial"/>
          <w:sz w:val="24"/>
          <w:szCs w:val="24"/>
        </w:rPr>
        <w:t xml:space="preserve"> СОВЕТ ДЕПУТАТОВ</w:t>
      </w:r>
    </w:p>
    <w:p w:rsidR="0027436C" w:rsidRPr="009C70A9" w:rsidRDefault="0027436C" w:rsidP="00F8533C">
      <w:pPr>
        <w:tabs>
          <w:tab w:val="left" w:pos="-2410"/>
          <w:tab w:val="left" w:pos="567"/>
        </w:tabs>
        <w:ind w:left="-142" w:right="-143"/>
        <w:jc w:val="center"/>
        <w:rPr>
          <w:rFonts w:ascii="Arial" w:hAnsi="Arial" w:cs="Arial"/>
          <w:b/>
          <w:bCs/>
          <w:sz w:val="24"/>
          <w:szCs w:val="24"/>
        </w:rPr>
      </w:pPr>
    </w:p>
    <w:p w:rsidR="0027436C" w:rsidRPr="009C70A9" w:rsidRDefault="00C36B30" w:rsidP="00F8533C">
      <w:pPr>
        <w:pStyle w:val="1"/>
        <w:tabs>
          <w:tab w:val="left" w:pos="-2410"/>
          <w:tab w:val="left" w:pos="567"/>
        </w:tabs>
        <w:ind w:left="-142" w:right="-143"/>
        <w:rPr>
          <w:rFonts w:ascii="Arial" w:hAnsi="Arial" w:cs="Arial"/>
          <w:sz w:val="24"/>
          <w:szCs w:val="24"/>
        </w:rPr>
      </w:pPr>
      <w:r w:rsidRPr="009C70A9">
        <w:rPr>
          <w:rFonts w:ascii="Arial" w:hAnsi="Arial" w:cs="Arial"/>
          <w:sz w:val="24"/>
          <w:szCs w:val="24"/>
        </w:rPr>
        <w:t>РЕШЕНИЕ</w:t>
      </w:r>
      <w:r w:rsidR="008508DF" w:rsidRPr="009C70A9">
        <w:rPr>
          <w:rFonts w:ascii="Arial" w:hAnsi="Arial" w:cs="Arial"/>
          <w:sz w:val="24"/>
          <w:szCs w:val="24"/>
        </w:rPr>
        <w:t xml:space="preserve"> </w:t>
      </w:r>
    </w:p>
    <w:p w:rsidR="0027436C" w:rsidRPr="009C70A9" w:rsidRDefault="0027436C" w:rsidP="00F8533C">
      <w:pPr>
        <w:ind w:left="-142" w:right="-143"/>
        <w:rPr>
          <w:rFonts w:ascii="Arial" w:hAnsi="Arial" w:cs="Arial"/>
          <w:sz w:val="24"/>
          <w:szCs w:val="24"/>
        </w:rPr>
      </w:pPr>
    </w:p>
    <w:p w:rsidR="0027436C" w:rsidRPr="009C70A9" w:rsidRDefault="001D0362" w:rsidP="00CB16DA">
      <w:pPr>
        <w:tabs>
          <w:tab w:val="left" w:pos="-2410"/>
          <w:tab w:val="left" w:pos="284"/>
          <w:tab w:val="left" w:pos="567"/>
          <w:tab w:val="left" w:pos="709"/>
          <w:tab w:val="left" w:pos="9072"/>
        </w:tabs>
        <w:ind w:left="-142" w:right="-143"/>
        <w:rPr>
          <w:rFonts w:ascii="Arial" w:hAnsi="Arial" w:cs="Arial"/>
          <w:sz w:val="24"/>
          <w:szCs w:val="24"/>
        </w:rPr>
      </w:pPr>
      <w:r w:rsidRPr="009C70A9">
        <w:rPr>
          <w:rFonts w:ascii="Arial" w:hAnsi="Arial" w:cs="Arial"/>
          <w:sz w:val="24"/>
          <w:szCs w:val="24"/>
        </w:rPr>
        <w:t xml:space="preserve"> </w:t>
      </w:r>
      <w:r w:rsidR="00C36B30" w:rsidRPr="009C70A9">
        <w:rPr>
          <w:rFonts w:ascii="Arial" w:hAnsi="Arial" w:cs="Arial"/>
          <w:sz w:val="24"/>
          <w:szCs w:val="24"/>
        </w:rPr>
        <w:t>от</w:t>
      </w:r>
      <w:r w:rsidR="0027436C" w:rsidRPr="009C70A9">
        <w:rPr>
          <w:rFonts w:ascii="Arial" w:hAnsi="Arial" w:cs="Arial"/>
          <w:sz w:val="24"/>
          <w:szCs w:val="24"/>
        </w:rPr>
        <w:t xml:space="preserve"> </w:t>
      </w:r>
      <w:r w:rsidR="006B0CDC" w:rsidRPr="009C70A9">
        <w:rPr>
          <w:rFonts w:ascii="Arial" w:hAnsi="Arial" w:cs="Arial"/>
          <w:sz w:val="24"/>
          <w:szCs w:val="24"/>
        </w:rPr>
        <w:t>29.11.2018</w:t>
      </w:r>
      <w:r w:rsidR="0027436C" w:rsidRPr="009C70A9">
        <w:rPr>
          <w:rFonts w:ascii="Arial" w:hAnsi="Arial" w:cs="Arial"/>
          <w:sz w:val="24"/>
          <w:szCs w:val="24"/>
        </w:rPr>
        <w:t xml:space="preserve"> </w:t>
      </w:r>
      <w:r w:rsidR="00E7319D" w:rsidRPr="009C70A9">
        <w:rPr>
          <w:rFonts w:ascii="Arial" w:hAnsi="Arial" w:cs="Arial"/>
          <w:sz w:val="24"/>
          <w:szCs w:val="24"/>
        </w:rPr>
        <w:t xml:space="preserve">      </w:t>
      </w:r>
      <w:r w:rsidR="0022365E" w:rsidRPr="009C70A9">
        <w:rPr>
          <w:rFonts w:ascii="Arial" w:hAnsi="Arial" w:cs="Arial"/>
          <w:sz w:val="24"/>
          <w:szCs w:val="24"/>
        </w:rPr>
        <w:t xml:space="preserve"> </w:t>
      </w:r>
      <w:r w:rsidR="00E7319D" w:rsidRPr="009C70A9">
        <w:rPr>
          <w:rFonts w:ascii="Arial" w:hAnsi="Arial" w:cs="Arial"/>
          <w:sz w:val="24"/>
          <w:szCs w:val="24"/>
        </w:rPr>
        <w:t xml:space="preserve">          </w:t>
      </w:r>
      <w:r w:rsidR="00CB16DA" w:rsidRPr="009C70A9">
        <w:rPr>
          <w:rFonts w:ascii="Arial" w:hAnsi="Arial" w:cs="Arial"/>
          <w:sz w:val="24"/>
          <w:szCs w:val="24"/>
        </w:rPr>
        <w:t xml:space="preserve">                   </w:t>
      </w:r>
      <w:r w:rsidR="009C70A9">
        <w:rPr>
          <w:rFonts w:ascii="Arial" w:hAnsi="Arial" w:cs="Arial"/>
          <w:sz w:val="24"/>
          <w:szCs w:val="24"/>
        </w:rPr>
        <w:t xml:space="preserve">   </w:t>
      </w:r>
      <w:r w:rsidR="000E2AF9" w:rsidRPr="009C70A9">
        <w:rPr>
          <w:rFonts w:ascii="Arial" w:hAnsi="Arial" w:cs="Arial"/>
          <w:sz w:val="24"/>
          <w:szCs w:val="24"/>
        </w:rPr>
        <w:t xml:space="preserve"> </w:t>
      </w:r>
      <w:r w:rsidR="0027436C" w:rsidRPr="009C70A9">
        <w:rPr>
          <w:rFonts w:ascii="Arial" w:hAnsi="Arial" w:cs="Arial"/>
          <w:sz w:val="24"/>
          <w:szCs w:val="24"/>
        </w:rPr>
        <w:t xml:space="preserve">п. Балахта                     </w:t>
      </w:r>
      <w:r w:rsidR="007D3D55" w:rsidRPr="009C70A9">
        <w:rPr>
          <w:rFonts w:ascii="Arial" w:hAnsi="Arial" w:cs="Arial"/>
          <w:sz w:val="24"/>
          <w:szCs w:val="24"/>
        </w:rPr>
        <w:t xml:space="preserve">    </w:t>
      </w:r>
      <w:r w:rsidR="00CB16DA" w:rsidRPr="009C70A9">
        <w:rPr>
          <w:rFonts w:ascii="Arial" w:hAnsi="Arial" w:cs="Arial"/>
          <w:sz w:val="24"/>
          <w:szCs w:val="24"/>
        </w:rPr>
        <w:t xml:space="preserve">             </w:t>
      </w:r>
      <w:r w:rsidR="009C70A9">
        <w:rPr>
          <w:rFonts w:ascii="Arial" w:hAnsi="Arial" w:cs="Arial"/>
          <w:sz w:val="24"/>
          <w:szCs w:val="24"/>
        </w:rPr>
        <w:t xml:space="preserve">     </w:t>
      </w:r>
      <w:r w:rsidR="00C36B30" w:rsidRPr="009C70A9">
        <w:rPr>
          <w:rFonts w:ascii="Arial" w:hAnsi="Arial" w:cs="Arial"/>
          <w:sz w:val="24"/>
          <w:szCs w:val="24"/>
        </w:rPr>
        <w:t>№</w:t>
      </w:r>
      <w:r w:rsidR="006B0CDC" w:rsidRPr="009C70A9">
        <w:rPr>
          <w:rFonts w:ascii="Arial" w:hAnsi="Arial" w:cs="Arial"/>
          <w:sz w:val="24"/>
          <w:szCs w:val="24"/>
        </w:rPr>
        <w:t xml:space="preserve"> вн-134р</w:t>
      </w:r>
    </w:p>
    <w:p w:rsidR="0019095A" w:rsidRPr="009C70A9" w:rsidRDefault="0019095A" w:rsidP="0022365E">
      <w:pPr>
        <w:tabs>
          <w:tab w:val="left" w:pos="-2410"/>
          <w:tab w:val="left" w:pos="284"/>
          <w:tab w:val="left" w:pos="567"/>
          <w:tab w:val="left" w:pos="9072"/>
        </w:tabs>
        <w:ind w:left="-142" w:right="-143"/>
        <w:rPr>
          <w:rFonts w:ascii="Arial" w:hAnsi="Arial" w:cs="Arial"/>
          <w:sz w:val="24"/>
          <w:szCs w:val="24"/>
        </w:rPr>
      </w:pPr>
    </w:p>
    <w:p w:rsidR="00A3017C" w:rsidRPr="009C70A9" w:rsidRDefault="00A3017C" w:rsidP="00F8533C">
      <w:pPr>
        <w:pStyle w:val="ConsPlusNormal"/>
        <w:widowControl/>
        <w:ind w:left="-142" w:right="-143" w:firstLine="0"/>
        <w:jc w:val="both"/>
        <w:rPr>
          <w:bCs/>
          <w:sz w:val="24"/>
          <w:szCs w:val="24"/>
        </w:rPr>
      </w:pPr>
      <w:r w:rsidRPr="009C70A9">
        <w:rPr>
          <w:b/>
          <w:bCs/>
          <w:sz w:val="24"/>
          <w:szCs w:val="24"/>
        </w:rPr>
        <w:t>О</w:t>
      </w:r>
      <w:r w:rsidR="00001D17" w:rsidRPr="009C70A9">
        <w:rPr>
          <w:b/>
          <w:bCs/>
          <w:sz w:val="24"/>
          <w:szCs w:val="24"/>
        </w:rPr>
        <w:t>б установлении</w:t>
      </w:r>
      <w:r w:rsidRPr="009C70A9">
        <w:rPr>
          <w:b/>
          <w:bCs/>
          <w:sz w:val="24"/>
          <w:szCs w:val="24"/>
        </w:rPr>
        <w:t xml:space="preserve"> налог</w:t>
      </w:r>
      <w:r w:rsidR="00001D17" w:rsidRPr="009C70A9">
        <w:rPr>
          <w:b/>
          <w:bCs/>
          <w:sz w:val="24"/>
          <w:szCs w:val="24"/>
        </w:rPr>
        <w:t>а</w:t>
      </w:r>
      <w:r w:rsidRPr="009C70A9">
        <w:rPr>
          <w:b/>
          <w:bCs/>
          <w:sz w:val="24"/>
          <w:szCs w:val="24"/>
        </w:rPr>
        <w:t xml:space="preserve"> на имущество физических лиц</w:t>
      </w:r>
      <w:r w:rsidR="00F8533C" w:rsidRPr="009C70A9">
        <w:rPr>
          <w:bCs/>
          <w:sz w:val="24"/>
          <w:szCs w:val="24"/>
        </w:rPr>
        <w:tab/>
      </w:r>
    </w:p>
    <w:p w:rsidR="00A3017C" w:rsidRPr="009C70A9" w:rsidRDefault="00A3017C" w:rsidP="00F8533C">
      <w:pPr>
        <w:pStyle w:val="ConsPlusNormal"/>
        <w:widowControl/>
        <w:ind w:left="-142" w:right="-143" w:firstLine="0"/>
        <w:jc w:val="both"/>
        <w:rPr>
          <w:bCs/>
          <w:sz w:val="24"/>
          <w:szCs w:val="24"/>
        </w:rPr>
      </w:pPr>
    </w:p>
    <w:p w:rsidR="007A29C0" w:rsidRPr="009C70A9" w:rsidRDefault="005A1C47" w:rsidP="00CB16DA">
      <w:pPr>
        <w:pStyle w:val="ConsPlusNormal"/>
        <w:widowControl/>
        <w:tabs>
          <w:tab w:val="left" w:pos="709"/>
        </w:tabs>
        <w:ind w:left="-142" w:right="-143" w:firstLine="0"/>
        <w:jc w:val="both"/>
        <w:rPr>
          <w:bCs/>
          <w:sz w:val="24"/>
          <w:szCs w:val="24"/>
        </w:rPr>
      </w:pPr>
      <w:r w:rsidRPr="009C70A9">
        <w:rPr>
          <w:bCs/>
          <w:sz w:val="24"/>
          <w:szCs w:val="24"/>
        </w:rPr>
        <w:t xml:space="preserve">      </w:t>
      </w:r>
      <w:r w:rsidR="00CB16DA" w:rsidRPr="009C70A9">
        <w:rPr>
          <w:bCs/>
          <w:sz w:val="24"/>
          <w:szCs w:val="24"/>
        </w:rPr>
        <w:t xml:space="preserve">      </w:t>
      </w:r>
      <w:r w:rsidR="009C70A9">
        <w:rPr>
          <w:bCs/>
          <w:sz w:val="24"/>
          <w:szCs w:val="24"/>
        </w:rPr>
        <w:t xml:space="preserve"> </w:t>
      </w:r>
      <w:r w:rsidR="00A3017C" w:rsidRPr="009C70A9">
        <w:rPr>
          <w:bCs/>
          <w:sz w:val="24"/>
          <w:szCs w:val="24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№ 6-2108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001D17" w:rsidRPr="009C70A9">
        <w:rPr>
          <w:bCs/>
          <w:sz w:val="24"/>
          <w:szCs w:val="24"/>
        </w:rPr>
        <w:t xml:space="preserve">, руководствуясь ст.ст. 23,27 Устава посёлка Балахта </w:t>
      </w:r>
      <w:r w:rsidR="00A3017C" w:rsidRPr="009C70A9">
        <w:rPr>
          <w:bCs/>
          <w:sz w:val="24"/>
          <w:szCs w:val="24"/>
        </w:rPr>
        <w:t xml:space="preserve"> </w:t>
      </w:r>
      <w:r w:rsidR="009E6138" w:rsidRPr="009C70A9">
        <w:rPr>
          <w:bCs/>
          <w:sz w:val="24"/>
          <w:szCs w:val="24"/>
        </w:rPr>
        <w:t xml:space="preserve">Балахтинский </w:t>
      </w:r>
      <w:r w:rsidR="009D166A" w:rsidRPr="009C70A9">
        <w:rPr>
          <w:bCs/>
          <w:sz w:val="24"/>
          <w:szCs w:val="24"/>
        </w:rPr>
        <w:t>поселковый Совет депутатов</w:t>
      </w:r>
    </w:p>
    <w:p w:rsidR="00F8533C" w:rsidRPr="009C70A9" w:rsidRDefault="00F8533C" w:rsidP="00F8533C">
      <w:pPr>
        <w:pStyle w:val="ConsPlusNormal"/>
        <w:widowControl/>
        <w:ind w:left="-142" w:right="-143" w:firstLine="0"/>
        <w:jc w:val="both"/>
        <w:rPr>
          <w:bCs/>
          <w:sz w:val="24"/>
          <w:szCs w:val="24"/>
        </w:rPr>
      </w:pPr>
    </w:p>
    <w:p w:rsidR="003A2B22" w:rsidRPr="009C70A9" w:rsidRDefault="007D3441" w:rsidP="00F8533C">
      <w:pPr>
        <w:pStyle w:val="ConsPlusNormal"/>
        <w:widowControl/>
        <w:ind w:left="-142" w:right="-143" w:firstLine="0"/>
        <w:jc w:val="center"/>
        <w:rPr>
          <w:b/>
          <w:bCs/>
          <w:sz w:val="24"/>
          <w:szCs w:val="24"/>
        </w:rPr>
      </w:pPr>
      <w:r w:rsidRPr="009C70A9">
        <w:rPr>
          <w:b/>
          <w:bCs/>
          <w:sz w:val="24"/>
          <w:szCs w:val="24"/>
        </w:rPr>
        <w:t>Р Е Ш И Л</w:t>
      </w:r>
      <w:r w:rsidR="003F41B4" w:rsidRPr="009C70A9">
        <w:rPr>
          <w:b/>
          <w:bCs/>
          <w:sz w:val="24"/>
          <w:szCs w:val="24"/>
        </w:rPr>
        <w:t>:</w:t>
      </w:r>
    </w:p>
    <w:p w:rsidR="00F8533C" w:rsidRPr="009C70A9" w:rsidRDefault="00F8533C" w:rsidP="00F8533C">
      <w:pPr>
        <w:pStyle w:val="ConsPlusNormal"/>
        <w:widowControl/>
        <w:ind w:left="-142" w:right="-143" w:firstLine="0"/>
        <w:jc w:val="center"/>
        <w:rPr>
          <w:sz w:val="24"/>
          <w:szCs w:val="24"/>
        </w:rPr>
      </w:pPr>
    </w:p>
    <w:p w:rsidR="00A3017C" w:rsidRPr="009C70A9" w:rsidRDefault="0022365E" w:rsidP="00A3017C">
      <w:pPr>
        <w:pStyle w:val="ConsPlusTitle"/>
        <w:ind w:left="-142" w:right="-143"/>
        <w:jc w:val="both"/>
        <w:rPr>
          <w:b w:val="0"/>
          <w:sz w:val="24"/>
          <w:szCs w:val="24"/>
        </w:rPr>
      </w:pPr>
      <w:r w:rsidRPr="009C70A9">
        <w:rPr>
          <w:sz w:val="24"/>
          <w:szCs w:val="24"/>
        </w:rPr>
        <w:tab/>
      </w:r>
      <w:r w:rsidR="00A3017C" w:rsidRPr="009C70A9">
        <w:rPr>
          <w:sz w:val="24"/>
          <w:szCs w:val="24"/>
        </w:rPr>
        <w:t xml:space="preserve">      </w:t>
      </w:r>
      <w:r w:rsidR="00CB16DA" w:rsidRPr="009C70A9">
        <w:rPr>
          <w:sz w:val="24"/>
          <w:szCs w:val="24"/>
        </w:rPr>
        <w:t xml:space="preserve">   </w:t>
      </w:r>
      <w:r w:rsidR="009C70A9">
        <w:rPr>
          <w:sz w:val="24"/>
          <w:szCs w:val="24"/>
        </w:rPr>
        <w:t xml:space="preserve"> </w:t>
      </w:r>
      <w:r w:rsidR="00A3017C" w:rsidRPr="009C70A9">
        <w:rPr>
          <w:b w:val="0"/>
          <w:sz w:val="24"/>
          <w:szCs w:val="24"/>
        </w:rPr>
        <w:t>1.Установить налог на имущество физических лиц на территории муниципального образования посёлок Балахта.</w:t>
      </w:r>
    </w:p>
    <w:p w:rsidR="00044A07" w:rsidRPr="009C70A9" w:rsidRDefault="00A3017C" w:rsidP="009C70A9">
      <w:pPr>
        <w:pStyle w:val="ConsPlusTitle"/>
        <w:widowControl/>
        <w:tabs>
          <w:tab w:val="left" w:pos="709"/>
        </w:tabs>
        <w:ind w:left="-142" w:right="-143"/>
        <w:jc w:val="both"/>
        <w:rPr>
          <w:sz w:val="24"/>
          <w:szCs w:val="24"/>
        </w:rPr>
      </w:pPr>
      <w:r w:rsidRPr="009C70A9">
        <w:rPr>
          <w:b w:val="0"/>
          <w:sz w:val="24"/>
          <w:szCs w:val="24"/>
        </w:rPr>
        <w:t xml:space="preserve">       </w:t>
      </w:r>
      <w:r w:rsidR="00CB16DA" w:rsidRPr="009C70A9">
        <w:rPr>
          <w:b w:val="0"/>
          <w:sz w:val="24"/>
          <w:szCs w:val="24"/>
        </w:rPr>
        <w:t xml:space="preserve">    </w:t>
      </w:r>
      <w:r w:rsidR="009C70A9">
        <w:rPr>
          <w:b w:val="0"/>
          <w:sz w:val="24"/>
          <w:szCs w:val="24"/>
        </w:rPr>
        <w:t xml:space="preserve"> </w:t>
      </w:r>
      <w:r w:rsidRPr="009C70A9">
        <w:rPr>
          <w:b w:val="0"/>
          <w:sz w:val="24"/>
          <w:szCs w:val="24"/>
        </w:rPr>
        <w:t>2.</w:t>
      </w:r>
      <w:r w:rsidRPr="009C70A9">
        <w:rPr>
          <w:b w:val="0"/>
          <w:sz w:val="24"/>
          <w:szCs w:val="24"/>
        </w:rPr>
        <w:tab/>
        <w:t>Налоговые ставки устанавливаются в следующих размерах от кадастровой стоимости: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"/>
        <w:gridCol w:w="6422"/>
        <w:gridCol w:w="2350"/>
      </w:tblGrid>
      <w:tr w:rsidR="00A3017C" w:rsidRPr="00060CE0" w:rsidTr="00060CE0">
        <w:tc>
          <w:tcPr>
            <w:tcW w:w="959" w:type="dxa"/>
          </w:tcPr>
          <w:p w:rsidR="00A3017C" w:rsidRPr="00060CE0" w:rsidRDefault="00A3017C" w:rsidP="00060CE0">
            <w:pPr>
              <w:pStyle w:val="ConsPlusNormal"/>
              <w:ind w:right="-143" w:firstLine="0"/>
              <w:jc w:val="both"/>
              <w:rPr>
                <w:sz w:val="24"/>
                <w:szCs w:val="24"/>
              </w:rPr>
            </w:pPr>
            <w:r w:rsidRPr="00060CE0">
              <w:rPr>
                <w:sz w:val="24"/>
                <w:szCs w:val="24"/>
              </w:rPr>
              <w:t xml:space="preserve">№ </w:t>
            </w:r>
          </w:p>
          <w:p w:rsidR="00A3017C" w:rsidRPr="00060CE0" w:rsidRDefault="00A3017C" w:rsidP="00060CE0">
            <w:pPr>
              <w:pStyle w:val="ConsPlusNormal"/>
              <w:widowControl/>
              <w:ind w:right="-143" w:firstLine="0"/>
              <w:jc w:val="both"/>
              <w:rPr>
                <w:sz w:val="24"/>
                <w:szCs w:val="24"/>
              </w:rPr>
            </w:pPr>
            <w:r w:rsidRPr="00060CE0">
              <w:rPr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A3017C" w:rsidRPr="00060CE0" w:rsidRDefault="00A3017C" w:rsidP="00060CE0">
            <w:pPr>
              <w:pStyle w:val="ConsPlusNormal"/>
              <w:widowControl/>
              <w:ind w:right="-143" w:firstLine="0"/>
              <w:jc w:val="both"/>
              <w:rPr>
                <w:sz w:val="24"/>
                <w:szCs w:val="24"/>
              </w:rPr>
            </w:pPr>
            <w:r w:rsidRPr="00060CE0">
              <w:rPr>
                <w:sz w:val="24"/>
                <w:szCs w:val="24"/>
              </w:rPr>
              <w:t>Объект налогообложения</w:t>
            </w:r>
          </w:p>
        </w:tc>
        <w:tc>
          <w:tcPr>
            <w:tcW w:w="2410" w:type="dxa"/>
          </w:tcPr>
          <w:p w:rsidR="00A3017C" w:rsidRPr="00060CE0" w:rsidRDefault="00A3017C" w:rsidP="00060CE0">
            <w:pPr>
              <w:pStyle w:val="ConsPlusNormal"/>
              <w:widowControl/>
              <w:ind w:right="-143" w:firstLine="0"/>
              <w:jc w:val="both"/>
              <w:rPr>
                <w:sz w:val="24"/>
                <w:szCs w:val="24"/>
              </w:rPr>
            </w:pPr>
            <w:r w:rsidRPr="00060CE0">
              <w:rPr>
                <w:sz w:val="24"/>
                <w:szCs w:val="24"/>
              </w:rPr>
              <w:t>Налоговая ставка (в процентах)</w:t>
            </w:r>
          </w:p>
        </w:tc>
      </w:tr>
      <w:tr w:rsidR="00BC43E7" w:rsidRPr="00060CE0" w:rsidTr="00060CE0">
        <w:tc>
          <w:tcPr>
            <w:tcW w:w="959" w:type="dxa"/>
          </w:tcPr>
          <w:p w:rsidR="00BC43E7" w:rsidRPr="00060CE0" w:rsidRDefault="00BC43E7" w:rsidP="00792713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BC43E7" w:rsidRPr="00060CE0" w:rsidRDefault="00BC43E7" w:rsidP="00ED4DCC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410" w:type="dxa"/>
          </w:tcPr>
          <w:p w:rsidR="00BC43E7" w:rsidRPr="00060CE0" w:rsidRDefault="00BC43E7" w:rsidP="00060CE0">
            <w:pPr>
              <w:pStyle w:val="ConsPlusNormal"/>
              <w:widowControl/>
              <w:ind w:right="-143" w:firstLine="0"/>
              <w:jc w:val="both"/>
              <w:rPr>
                <w:sz w:val="24"/>
                <w:szCs w:val="24"/>
              </w:rPr>
            </w:pPr>
          </w:p>
        </w:tc>
      </w:tr>
      <w:tr w:rsidR="00BC43E7" w:rsidRPr="00060CE0" w:rsidTr="00060CE0">
        <w:tc>
          <w:tcPr>
            <w:tcW w:w="959" w:type="dxa"/>
          </w:tcPr>
          <w:p w:rsidR="00BC43E7" w:rsidRPr="00060CE0" w:rsidRDefault="00BC43E7" w:rsidP="00792713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62" w:type="dxa"/>
          </w:tcPr>
          <w:p w:rsidR="00BC43E7" w:rsidRPr="00060CE0" w:rsidRDefault="00BC43E7" w:rsidP="00ED4DCC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2410" w:type="dxa"/>
          </w:tcPr>
          <w:p w:rsidR="00BC43E7" w:rsidRPr="00060CE0" w:rsidRDefault="00C27B3C" w:rsidP="00060CE0">
            <w:pPr>
              <w:pStyle w:val="ConsPlusNormal"/>
              <w:widowControl/>
              <w:ind w:right="-143" w:firstLine="0"/>
              <w:jc w:val="both"/>
              <w:rPr>
                <w:sz w:val="24"/>
                <w:szCs w:val="24"/>
              </w:rPr>
            </w:pPr>
            <w:r w:rsidRPr="00060CE0">
              <w:rPr>
                <w:sz w:val="24"/>
                <w:szCs w:val="24"/>
              </w:rPr>
              <w:t>0,1</w:t>
            </w:r>
          </w:p>
        </w:tc>
      </w:tr>
      <w:tr w:rsidR="00BC43E7" w:rsidRPr="00060CE0" w:rsidTr="00060CE0">
        <w:tc>
          <w:tcPr>
            <w:tcW w:w="959" w:type="dxa"/>
          </w:tcPr>
          <w:p w:rsidR="00BC43E7" w:rsidRPr="00060CE0" w:rsidRDefault="00BC43E7" w:rsidP="00792713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:rsidR="00BC43E7" w:rsidRPr="00060CE0" w:rsidRDefault="00BC43E7" w:rsidP="00ED4DCC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2410" w:type="dxa"/>
          </w:tcPr>
          <w:p w:rsidR="00BC43E7" w:rsidRPr="00060CE0" w:rsidRDefault="00C27B3C" w:rsidP="00060CE0">
            <w:pPr>
              <w:pStyle w:val="ConsPlusNormal"/>
              <w:widowControl/>
              <w:ind w:right="-143" w:firstLine="0"/>
              <w:jc w:val="both"/>
              <w:rPr>
                <w:sz w:val="24"/>
                <w:szCs w:val="24"/>
              </w:rPr>
            </w:pPr>
            <w:r w:rsidRPr="00060CE0">
              <w:rPr>
                <w:sz w:val="24"/>
                <w:szCs w:val="24"/>
              </w:rPr>
              <w:t>0,1</w:t>
            </w:r>
          </w:p>
        </w:tc>
      </w:tr>
      <w:tr w:rsidR="00BC43E7" w:rsidRPr="00060CE0" w:rsidTr="00060CE0">
        <w:tc>
          <w:tcPr>
            <w:tcW w:w="959" w:type="dxa"/>
          </w:tcPr>
          <w:p w:rsidR="00BC43E7" w:rsidRPr="00060CE0" w:rsidRDefault="00BC43E7" w:rsidP="00792713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:rsidR="00BC43E7" w:rsidRPr="00060CE0" w:rsidRDefault="00BC43E7" w:rsidP="0052172A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410" w:type="dxa"/>
          </w:tcPr>
          <w:p w:rsidR="00BC43E7" w:rsidRPr="00060CE0" w:rsidRDefault="00C27B3C" w:rsidP="00060CE0">
            <w:pPr>
              <w:pStyle w:val="ConsPlusNormal"/>
              <w:widowControl/>
              <w:ind w:right="-143" w:firstLine="0"/>
              <w:jc w:val="both"/>
              <w:rPr>
                <w:sz w:val="24"/>
                <w:szCs w:val="24"/>
              </w:rPr>
            </w:pPr>
            <w:r w:rsidRPr="00060CE0">
              <w:rPr>
                <w:sz w:val="24"/>
                <w:szCs w:val="24"/>
              </w:rPr>
              <w:t>0,1</w:t>
            </w:r>
          </w:p>
        </w:tc>
      </w:tr>
      <w:tr w:rsidR="00BC43E7" w:rsidRPr="00060CE0" w:rsidTr="00060CE0">
        <w:tc>
          <w:tcPr>
            <w:tcW w:w="959" w:type="dxa"/>
          </w:tcPr>
          <w:p w:rsidR="00BC43E7" w:rsidRPr="00060CE0" w:rsidRDefault="00BC43E7" w:rsidP="00792713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62" w:type="dxa"/>
          </w:tcPr>
          <w:p w:rsidR="00BC43E7" w:rsidRPr="00060CE0" w:rsidRDefault="00BC43E7" w:rsidP="0052172A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410" w:type="dxa"/>
          </w:tcPr>
          <w:p w:rsidR="00BC43E7" w:rsidRPr="00060CE0" w:rsidRDefault="00C27B3C" w:rsidP="00060CE0">
            <w:pPr>
              <w:pStyle w:val="ConsPlusNormal"/>
              <w:widowControl/>
              <w:ind w:right="-143" w:firstLine="0"/>
              <w:jc w:val="both"/>
              <w:rPr>
                <w:sz w:val="24"/>
                <w:szCs w:val="24"/>
              </w:rPr>
            </w:pPr>
            <w:r w:rsidRPr="00060CE0">
              <w:rPr>
                <w:sz w:val="24"/>
                <w:szCs w:val="24"/>
              </w:rPr>
              <w:t>0,3</w:t>
            </w:r>
          </w:p>
        </w:tc>
      </w:tr>
      <w:tr w:rsidR="00BC43E7" w:rsidRPr="00060CE0" w:rsidTr="00060CE0">
        <w:tc>
          <w:tcPr>
            <w:tcW w:w="959" w:type="dxa"/>
          </w:tcPr>
          <w:p w:rsidR="00BC43E7" w:rsidRPr="00060CE0" w:rsidRDefault="00BC43E7" w:rsidP="00F33126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62" w:type="dxa"/>
          </w:tcPr>
          <w:p w:rsidR="00BC43E7" w:rsidRPr="00060CE0" w:rsidRDefault="00BC43E7" w:rsidP="00DA632C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410" w:type="dxa"/>
          </w:tcPr>
          <w:p w:rsidR="00BC43E7" w:rsidRPr="00060CE0" w:rsidRDefault="00C27B3C" w:rsidP="00060CE0">
            <w:pPr>
              <w:pStyle w:val="ConsPlusNormal"/>
              <w:widowControl/>
              <w:ind w:right="-143" w:firstLine="0"/>
              <w:jc w:val="both"/>
              <w:rPr>
                <w:sz w:val="24"/>
                <w:szCs w:val="24"/>
              </w:rPr>
            </w:pPr>
            <w:r w:rsidRPr="00060CE0">
              <w:rPr>
                <w:sz w:val="24"/>
                <w:szCs w:val="24"/>
              </w:rPr>
              <w:t>0,1</w:t>
            </w:r>
          </w:p>
        </w:tc>
      </w:tr>
      <w:tr w:rsidR="00BC43E7" w:rsidRPr="00060CE0" w:rsidTr="00060CE0">
        <w:tc>
          <w:tcPr>
            <w:tcW w:w="959" w:type="dxa"/>
          </w:tcPr>
          <w:p w:rsidR="00BC43E7" w:rsidRPr="00060CE0" w:rsidRDefault="00BC43E7" w:rsidP="00F33126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662" w:type="dxa"/>
          </w:tcPr>
          <w:p w:rsidR="00BC43E7" w:rsidRPr="00060CE0" w:rsidRDefault="00BC43E7" w:rsidP="00DA632C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гараж, машино-место;</w:t>
            </w:r>
          </w:p>
        </w:tc>
        <w:tc>
          <w:tcPr>
            <w:tcW w:w="2410" w:type="dxa"/>
          </w:tcPr>
          <w:p w:rsidR="00BC43E7" w:rsidRPr="00060CE0" w:rsidRDefault="00C27B3C" w:rsidP="00060CE0">
            <w:pPr>
              <w:pStyle w:val="ConsPlusNormal"/>
              <w:widowControl/>
              <w:ind w:right="-143" w:firstLine="0"/>
              <w:jc w:val="both"/>
              <w:rPr>
                <w:sz w:val="24"/>
                <w:szCs w:val="24"/>
              </w:rPr>
            </w:pPr>
            <w:r w:rsidRPr="00060CE0">
              <w:rPr>
                <w:sz w:val="24"/>
                <w:szCs w:val="24"/>
              </w:rPr>
              <w:t>0,1</w:t>
            </w:r>
          </w:p>
        </w:tc>
      </w:tr>
      <w:tr w:rsidR="00BC43E7" w:rsidRPr="00060CE0" w:rsidTr="00060CE0">
        <w:tc>
          <w:tcPr>
            <w:tcW w:w="959" w:type="dxa"/>
          </w:tcPr>
          <w:p w:rsidR="00BC43E7" w:rsidRPr="00060CE0" w:rsidRDefault="00BC43E7" w:rsidP="00F33126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6662" w:type="dxa"/>
          </w:tcPr>
          <w:p w:rsidR="00BC43E7" w:rsidRPr="00060CE0" w:rsidRDefault="00BC43E7" w:rsidP="00DA632C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410" w:type="dxa"/>
          </w:tcPr>
          <w:p w:rsidR="00BC43E7" w:rsidRPr="00060CE0" w:rsidRDefault="00C27B3C" w:rsidP="00060CE0">
            <w:pPr>
              <w:pStyle w:val="ConsPlusNormal"/>
              <w:widowControl/>
              <w:ind w:right="-143" w:firstLine="0"/>
              <w:jc w:val="both"/>
              <w:rPr>
                <w:sz w:val="24"/>
                <w:szCs w:val="24"/>
              </w:rPr>
            </w:pPr>
            <w:r w:rsidRPr="00060CE0">
              <w:rPr>
                <w:sz w:val="24"/>
                <w:szCs w:val="24"/>
              </w:rPr>
              <w:t>0,01</w:t>
            </w:r>
          </w:p>
        </w:tc>
      </w:tr>
      <w:tr w:rsidR="00BC43E7" w:rsidRPr="00060CE0" w:rsidTr="00060CE0">
        <w:tc>
          <w:tcPr>
            <w:tcW w:w="959" w:type="dxa"/>
          </w:tcPr>
          <w:p w:rsidR="00BC43E7" w:rsidRPr="00060CE0" w:rsidRDefault="00BC43E7" w:rsidP="00F33126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BC43E7" w:rsidRPr="00060CE0" w:rsidRDefault="00BC43E7" w:rsidP="00DA632C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410" w:type="dxa"/>
          </w:tcPr>
          <w:p w:rsidR="00BC43E7" w:rsidRPr="00060CE0" w:rsidRDefault="00BC43E7" w:rsidP="00AA3F16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C43E7" w:rsidRPr="00060CE0" w:rsidTr="00060CE0">
        <w:tc>
          <w:tcPr>
            <w:tcW w:w="959" w:type="dxa"/>
          </w:tcPr>
          <w:p w:rsidR="00BC43E7" w:rsidRPr="00060CE0" w:rsidRDefault="00BC43E7" w:rsidP="00F33126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BC43E7" w:rsidRPr="00060CE0" w:rsidRDefault="00BC43E7" w:rsidP="00DA632C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410" w:type="dxa"/>
          </w:tcPr>
          <w:p w:rsidR="00BC43E7" w:rsidRPr="00060CE0" w:rsidRDefault="00BC43E7" w:rsidP="00AA3F16">
            <w:pPr>
              <w:rPr>
                <w:rFonts w:ascii="Arial" w:hAnsi="Arial" w:cs="Arial"/>
                <w:sz w:val="24"/>
                <w:szCs w:val="24"/>
              </w:rPr>
            </w:pPr>
            <w:r w:rsidRPr="00060CE0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C27B3C" w:rsidRPr="009C70A9" w:rsidRDefault="00BC43E7" w:rsidP="00CB16DA">
      <w:pPr>
        <w:pStyle w:val="ConsPlusNormal"/>
        <w:ind w:left="-142" w:right="-143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3.</w:t>
      </w:r>
      <w:r w:rsidRPr="009C70A9">
        <w:rPr>
          <w:sz w:val="24"/>
          <w:szCs w:val="24"/>
        </w:rPr>
        <w:tab/>
        <w:t xml:space="preserve">Установить, что право на налоговые льготы, не предусмотренные Налоговым кодексом Российской Федерации, имеют следующие категории </w:t>
      </w:r>
      <w:r w:rsidRPr="009C70A9">
        <w:rPr>
          <w:sz w:val="24"/>
          <w:szCs w:val="24"/>
        </w:rPr>
        <w:lastRenderedPageBreak/>
        <w:t>налогоплательщиков:</w:t>
      </w:r>
      <w:r w:rsidR="00C27B3C" w:rsidRPr="009C70A9">
        <w:rPr>
          <w:sz w:val="24"/>
          <w:szCs w:val="24"/>
        </w:rPr>
        <w:t xml:space="preserve"> </w:t>
      </w:r>
    </w:p>
    <w:p w:rsidR="00BC43E7" w:rsidRPr="009C70A9" w:rsidRDefault="00001D17" w:rsidP="00CB16DA">
      <w:pPr>
        <w:pStyle w:val="ConsPlusNormal"/>
        <w:ind w:left="-142" w:right="-143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-</w:t>
      </w:r>
      <w:r w:rsidR="00C27B3C" w:rsidRPr="009C70A9">
        <w:rPr>
          <w:sz w:val="24"/>
          <w:szCs w:val="24"/>
        </w:rPr>
        <w:tab/>
        <w:t>Герои Социалистического Труда, а также лица, награжденные орденами Трудовой славы, «За службу Родине в Вооруженных Силах СССР»;</w:t>
      </w:r>
    </w:p>
    <w:p w:rsidR="00BC43E7" w:rsidRPr="009C70A9" w:rsidRDefault="00001D17" w:rsidP="00CB16DA">
      <w:pPr>
        <w:pStyle w:val="ConsPlusNormal"/>
        <w:ind w:left="-142" w:right="-143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-</w:t>
      </w:r>
      <w:r w:rsidR="00BC43E7" w:rsidRPr="009C70A9">
        <w:rPr>
          <w:sz w:val="24"/>
          <w:szCs w:val="24"/>
        </w:rPr>
        <w:tab/>
        <w:t>сироты, оставшиеся без родителей, до достижения ими восемнадцатилетнего возраста;</w:t>
      </w:r>
    </w:p>
    <w:p w:rsidR="00BC43E7" w:rsidRPr="009C70A9" w:rsidRDefault="00001D17" w:rsidP="00CB16DA">
      <w:pPr>
        <w:pStyle w:val="ConsPlusNormal"/>
        <w:ind w:left="-142" w:right="-143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-</w:t>
      </w:r>
      <w:r w:rsidR="00BC43E7" w:rsidRPr="009C70A9">
        <w:rPr>
          <w:sz w:val="24"/>
          <w:szCs w:val="24"/>
        </w:rPr>
        <w:tab/>
        <w:t>инвалиды III группы;</w:t>
      </w:r>
    </w:p>
    <w:p w:rsidR="00BC43E7" w:rsidRPr="009C70A9" w:rsidRDefault="00001D17" w:rsidP="00CB16DA">
      <w:pPr>
        <w:pStyle w:val="ConsPlusNormal"/>
        <w:ind w:left="-142" w:right="-143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-</w:t>
      </w:r>
      <w:r w:rsidR="00BC43E7" w:rsidRPr="009C70A9">
        <w:rPr>
          <w:sz w:val="24"/>
          <w:szCs w:val="24"/>
        </w:rPr>
        <w:tab/>
        <w:t>дети, находящиеся под опекой;</w:t>
      </w:r>
    </w:p>
    <w:p w:rsidR="00BC43E7" w:rsidRPr="009C70A9" w:rsidRDefault="00001D17" w:rsidP="00CB16DA">
      <w:pPr>
        <w:pStyle w:val="ConsPlusNormal"/>
        <w:ind w:left="-142" w:right="-143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-</w:t>
      </w:r>
      <w:r w:rsidR="00BC43E7" w:rsidRPr="009C70A9">
        <w:rPr>
          <w:sz w:val="24"/>
          <w:szCs w:val="24"/>
        </w:rPr>
        <w:tab/>
        <w:t>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BC43E7" w:rsidRPr="009C70A9" w:rsidRDefault="00001D17" w:rsidP="00CB16DA">
      <w:pPr>
        <w:pStyle w:val="ConsPlusNormal"/>
        <w:ind w:left="-142" w:right="-143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-</w:t>
      </w:r>
      <w:r w:rsidR="00BC43E7" w:rsidRPr="009C70A9">
        <w:rPr>
          <w:sz w:val="24"/>
          <w:szCs w:val="24"/>
        </w:rPr>
        <w:tab/>
        <w:t>многодетные семьи (семьи, имеющие трех и более детей, не достигших восемнадцатилетнего возраста.</w:t>
      </w:r>
    </w:p>
    <w:p w:rsidR="00BC43E7" w:rsidRPr="009C70A9" w:rsidRDefault="00BC43E7" w:rsidP="00CB16DA">
      <w:pPr>
        <w:pStyle w:val="ConsPlusNormal"/>
        <w:ind w:left="-142" w:right="-143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C43E7" w:rsidRPr="009C70A9" w:rsidRDefault="00BC43E7" w:rsidP="00CB16DA">
      <w:pPr>
        <w:pStyle w:val="ConsPlusNormal"/>
        <w:ind w:left="-142" w:right="-143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BC43E7" w:rsidRPr="009C70A9" w:rsidRDefault="00BC43E7" w:rsidP="00CB16DA">
      <w:pPr>
        <w:pStyle w:val="ConsPlusNormal"/>
        <w:ind w:left="-142" w:right="-143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BC43E7" w:rsidRPr="009C70A9" w:rsidRDefault="00BC43E7" w:rsidP="00CB16DA">
      <w:pPr>
        <w:pStyle w:val="ConsPlusNormal"/>
        <w:ind w:left="-142" w:right="-143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квартира, часть квартиры или комната;</w:t>
      </w:r>
    </w:p>
    <w:p w:rsidR="00BC43E7" w:rsidRPr="009C70A9" w:rsidRDefault="00BC43E7" w:rsidP="00CB16DA">
      <w:pPr>
        <w:pStyle w:val="ConsPlusNormal"/>
        <w:ind w:left="-142" w:right="-143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жилой дом или часть жилого дома;</w:t>
      </w:r>
    </w:p>
    <w:p w:rsidR="00BC43E7" w:rsidRPr="009C70A9" w:rsidRDefault="00BC43E7" w:rsidP="00CB16DA">
      <w:pPr>
        <w:pStyle w:val="ConsPlusNormal"/>
        <w:ind w:left="-142" w:right="-143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гараж или машино-место.</w:t>
      </w:r>
    </w:p>
    <w:p w:rsidR="0004252C" w:rsidRPr="009C70A9" w:rsidRDefault="00001D17" w:rsidP="00CB16DA">
      <w:pPr>
        <w:jc w:val="both"/>
        <w:rPr>
          <w:rFonts w:ascii="Arial" w:hAnsi="Arial" w:cs="Arial"/>
          <w:sz w:val="24"/>
          <w:szCs w:val="24"/>
        </w:rPr>
      </w:pPr>
      <w:r w:rsidRPr="009C70A9">
        <w:rPr>
          <w:rFonts w:ascii="Arial" w:hAnsi="Arial" w:cs="Arial"/>
          <w:sz w:val="24"/>
          <w:szCs w:val="24"/>
        </w:rPr>
        <w:t xml:space="preserve">         </w:t>
      </w:r>
      <w:r w:rsidR="006B0CDC" w:rsidRPr="009C70A9">
        <w:rPr>
          <w:rFonts w:ascii="Arial" w:hAnsi="Arial" w:cs="Arial"/>
          <w:sz w:val="24"/>
          <w:szCs w:val="24"/>
        </w:rPr>
        <w:t>4</w:t>
      </w:r>
      <w:r w:rsidRPr="009C70A9">
        <w:rPr>
          <w:rFonts w:ascii="Arial" w:hAnsi="Arial" w:cs="Arial"/>
          <w:sz w:val="24"/>
          <w:szCs w:val="24"/>
        </w:rPr>
        <w:t>.</w:t>
      </w:r>
      <w:r w:rsidR="00CB16DA" w:rsidRPr="009C70A9">
        <w:rPr>
          <w:rFonts w:ascii="Arial" w:hAnsi="Arial" w:cs="Arial"/>
          <w:sz w:val="24"/>
          <w:szCs w:val="24"/>
        </w:rPr>
        <w:t xml:space="preserve"> </w:t>
      </w:r>
      <w:r w:rsidR="00BC43E7" w:rsidRPr="009C70A9">
        <w:rPr>
          <w:rFonts w:ascii="Arial" w:hAnsi="Arial" w:cs="Arial"/>
          <w:sz w:val="24"/>
          <w:szCs w:val="24"/>
        </w:rPr>
        <w:t>Настоящее решение вступает в силу</w:t>
      </w:r>
      <w:r w:rsidR="00085CE5" w:rsidRPr="009C70A9">
        <w:rPr>
          <w:rFonts w:ascii="Arial" w:hAnsi="Arial" w:cs="Arial"/>
          <w:sz w:val="24"/>
          <w:szCs w:val="24"/>
        </w:rPr>
        <w:t xml:space="preserve"> </w:t>
      </w:r>
      <w:r w:rsidR="00BC43E7" w:rsidRPr="009C70A9">
        <w:rPr>
          <w:rFonts w:ascii="Arial" w:hAnsi="Arial" w:cs="Arial"/>
          <w:sz w:val="24"/>
          <w:szCs w:val="24"/>
        </w:rPr>
        <w:t xml:space="preserve"> не ранее чем по истечении одного месяца со дня его официального опубликования</w:t>
      </w:r>
      <w:r w:rsidR="00085CE5" w:rsidRPr="009C70A9">
        <w:rPr>
          <w:rFonts w:ascii="Arial" w:hAnsi="Arial" w:cs="Arial"/>
          <w:sz w:val="24"/>
          <w:szCs w:val="24"/>
        </w:rPr>
        <w:t xml:space="preserve"> в газете «Сельская Новь» </w:t>
      </w:r>
      <w:r w:rsidR="00BC43E7" w:rsidRPr="009C70A9">
        <w:rPr>
          <w:rFonts w:ascii="Arial" w:hAnsi="Arial" w:cs="Arial"/>
          <w:sz w:val="24"/>
          <w:szCs w:val="24"/>
        </w:rPr>
        <w:t>и не ранее 1-го числа очередного налогового периода по налогу на имущество физических лиц</w:t>
      </w:r>
      <w:r w:rsidR="00CB029B" w:rsidRPr="009C70A9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посёлка Балахта </w:t>
      </w:r>
      <w:r w:rsidR="0004252C" w:rsidRPr="009C70A9">
        <w:rPr>
          <w:rFonts w:ascii="Arial" w:hAnsi="Arial" w:cs="Arial"/>
          <w:sz w:val="24"/>
          <w:szCs w:val="24"/>
        </w:rPr>
        <w:t xml:space="preserve">http:\\bdu.su. (balahta.bdu.su). </w:t>
      </w:r>
    </w:p>
    <w:p w:rsidR="00001D17" w:rsidRPr="009C70A9" w:rsidRDefault="00085CE5" w:rsidP="00CB16DA">
      <w:pPr>
        <w:pStyle w:val="ConsPlusNormal"/>
        <w:widowControl/>
        <w:ind w:left="-142" w:right="-143" w:firstLine="0"/>
        <w:jc w:val="both"/>
        <w:rPr>
          <w:sz w:val="24"/>
          <w:szCs w:val="24"/>
        </w:rPr>
      </w:pPr>
      <w:r w:rsidRPr="009C70A9">
        <w:rPr>
          <w:sz w:val="24"/>
          <w:szCs w:val="24"/>
        </w:rPr>
        <w:t xml:space="preserve"> </w:t>
      </w:r>
    </w:p>
    <w:p w:rsidR="006B0CDC" w:rsidRPr="009C70A9" w:rsidRDefault="006B0CDC" w:rsidP="008508DF">
      <w:pPr>
        <w:pStyle w:val="ConsPlusNormal"/>
        <w:widowControl/>
        <w:ind w:left="-142" w:right="-143" w:firstLine="0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И.</w:t>
      </w:r>
      <w:r w:rsidR="00CB16DA" w:rsidRPr="009C70A9">
        <w:rPr>
          <w:sz w:val="24"/>
          <w:szCs w:val="24"/>
        </w:rPr>
        <w:t>о</w:t>
      </w:r>
      <w:r w:rsidRPr="009C70A9">
        <w:rPr>
          <w:sz w:val="24"/>
          <w:szCs w:val="24"/>
        </w:rPr>
        <w:t>. п</w:t>
      </w:r>
      <w:r w:rsidR="008508DF" w:rsidRPr="009C70A9">
        <w:rPr>
          <w:sz w:val="24"/>
          <w:szCs w:val="24"/>
        </w:rPr>
        <w:t>редседател</w:t>
      </w:r>
      <w:r w:rsidRPr="009C70A9">
        <w:rPr>
          <w:sz w:val="24"/>
          <w:szCs w:val="24"/>
        </w:rPr>
        <w:t xml:space="preserve">я </w:t>
      </w:r>
      <w:r w:rsidR="008508DF" w:rsidRPr="009C70A9">
        <w:rPr>
          <w:sz w:val="24"/>
          <w:szCs w:val="24"/>
        </w:rPr>
        <w:t>Балахтинского</w:t>
      </w:r>
    </w:p>
    <w:p w:rsidR="008508DF" w:rsidRPr="009C70A9" w:rsidRDefault="008508DF" w:rsidP="008508DF">
      <w:pPr>
        <w:pStyle w:val="ConsPlusNormal"/>
        <w:widowControl/>
        <w:ind w:left="-142" w:right="-143" w:firstLine="0"/>
        <w:jc w:val="both"/>
        <w:rPr>
          <w:sz w:val="24"/>
          <w:szCs w:val="24"/>
        </w:rPr>
      </w:pPr>
      <w:r w:rsidRPr="009C70A9">
        <w:rPr>
          <w:sz w:val="24"/>
          <w:szCs w:val="24"/>
        </w:rPr>
        <w:t xml:space="preserve"> поселкового Совета депутатов                                 </w:t>
      </w:r>
      <w:r w:rsidR="006B0CDC" w:rsidRPr="009C70A9">
        <w:rPr>
          <w:sz w:val="24"/>
          <w:szCs w:val="24"/>
        </w:rPr>
        <w:t xml:space="preserve">                     </w:t>
      </w:r>
      <w:r w:rsidRPr="009C70A9">
        <w:rPr>
          <w:sz w:val="24"/>
          <w:szCs w:val="24"/>
        </w:rPr>
        <w:t xml:space="preserve"> </w:t>
      </w:r>
      <w:r w:rsidR="006B0CDC" w:rsidRPr="009C70A9">
        <w:rPr>
          <w:sz w:val="24"/>
          <w:szCs w:val="24"/>
        </w:rPr>
        <w:t>Г.В.Нелюбина</w:t>
      </w:r>
    </w:p>
    <w:p w:rsidR="008508DF" w:rsidRPr="009C70A9" w:rsidRDefault="008508DF" w:rsidP="008508DF">
      <w:pPr>
        <w:pStyle w:val="ConsPlusNormal"/>
        <w:widowControl/>
        <w:ind w:left="-142" w:right="-143" w:firstLine="0"/>
        <w:jc w:val="both"/>
        <w:rPr>
          <w:sz w:val="24"/>
          <w:szCs w:val="24"/>
        </w:rPr>
      </w:pPr>
      <w:r w:rsidRPr="009C70A9">
        <w:rPr>
          <w:sz w:val="24"/>
          <w:szCs w:val="24"/>
        </w:rPr>
        <w:t xml:space="preserve"> </w:t>
      </w:r>
    </w:p>
    <w:p w:rsidR="008508DF" w:rsidRPr="009C70A9" w:rsidRDefault="008508DF" w:rsidP="008508DF">
      <w:pPr>
        <w:pStyle w:val="ConsPlusNormal"/>
        <w:widowControl/>
        <w:ind w:left="-142" w:right="-142" w:firstLine="0"/>
        <w:jc w:val="both"/>
        <w:rPr>
          <w:sz w:val="24"/>
          <w:szCs w:val="24"/>
        </w:rPr>
      </w:pPr>
      <w:r w:rsidRPr="009C70A9">
        <w:rPr>
          <w:sz w:val="24"/>
          <w:szCs w:val="24"/>
        </w:rPr>
        <w:t>Глава поселка Балахта                                                                       С.В.Антонов</w:t>
      </w:r>
    </w:p>
    <w:p w:rsidR="00F700EC" w:rsidRPr="009C70A9" w:rsidRDefault="00F700EC" w:rsidP="00F8533C">
      <w:pPr>
        <w:pStyle w:val="ConsPlusNormal"/>
        <w:widowControl/>
        <w:ind w:left="-142" w:right="-143" w:firstLine="0"/>
        <w:jc w:val="both"/>
        <w:rPr>
          <w:sz w:val="24"/>
          <w:szCs w:val="24"/>
        </w:rPr>
      </w:pPr>
    </w:p>
    <w:sectPr w:rsidR="00F700EC" w:rsidRPr="009C70A9" w:rsidSect="00CB16DA"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65B"/>
    <w:multiLevelType w:val="hybridMultilevel"/>
    <w:tmpl w:val="24EA6B9C"/>
    <w:lvl w:ilvl="0" w:tplc="727A4C5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1B4"/>
    <w:rsid w:val="00001D17"/>
    <w:rsid w:val="0001279D"/>
    <w:rsid w:val="000231E8"/>
    <w:rsid w:val="0004252C"/>
    <w:rsid w:val="00044A07"/>
    <w:rsid w:val="00055235"/>
    <w:rsid w:val="00060CE0"/>
    <w:rsid w:val="00082DFF"/>
    <w:rsid w:val="00085CE5"/>
    <w:rsid w:val="000B15BC"/>
    <w:rsid w:val="000C5B12"/>
    <w:rsid w:val="000D04E7"/>
    <w:rsid w:val="000E2AF9"/>
    <w:rsid w:val="000F089E"/>
    <w:rsid w:val="000F7606"/>
    <w:rsid w:val="00112D2A"/>
    <w:rsid w:val="00127E36"/>
    <w:rsid w:val="001504A1"/>
    <w:rsid w:val="00163CD2"/>
    <w:rsid w:val="0019095A"/>
    <w:rsid w:val="001A61C0"/>
    <w:rsid w:val="001D0362"/>
    <w:rsid w:val="001D1DD3"/>
    <w:rsid w:val="001D43FD"/>
    <w:rsid w:val="001E233F"/>
    <w:rsid w:val="001E620E"/>
    <w:rsid w:val="00202EF5"/>
    <w:rsid w:val="0021087A"/>
    <w:rsid w:val="002235E2"/>
    <w:rsid w:val="0022365E"/>
    <w:rsid w:val="00273A12"/>
    <w:rsid w:val="0027436C"/>
    <w:rsid w:val="00290CFB"/>
    <w:rsid w:val="00296804"/>
    <w:rsid w:val="002C30DD"/>
    <w:rsid w:val="002D26FA"/>
    <w:rsid w:val="002E767C"/>
    <w:rsid w:val="002F3E9D"/>
    <w:rsid w:val="00346ADA"/>
    <w:rsid w:val="00347BE4"/>
    <w:rsid w:val="00352448"/>
    <w:rsid w:val="00352DD7"/>
    <w:rsid w:val="00355537"/>
    <w:rsid w:val="00372F23"/>
    <w:rsid w:val="003A2B22"/>
    <w:rsid w:val="003A78F9"/>
    <w:rsid w:val="003F41B4"/>
    <w:rsid w:val="00405BE2"/>
    <w:rsid w:val="00425461"/>
    <w:rsid w:val="00434031"/>
    <w:rsid w:val="00434482"/>
    <w:rsid w:val="00457A22"/>
    <w:rsid w:val="00460EB2"/>
    <w:rsid w:val="004738F7"/>
    <w:rsid w:val="00490835"/>
    <w:rsid w:val="004A4C1A"/>
    <w:rsid w:val="004A6831"/>
    <w:rsid w:val="004E5197"/>
    <w:rsid w:val="004F559B"/>
    <w:rsid w:val="00500E34"/>
    <w:rsid w:val="0052172A"/>
    <w:rsid w:val="00557A54"/>
    <w:rsid w:val="00561706"/>
    <w:rsid w:val="005A07C1"/>
    <w:rsid w:val="005A1C47"/>
    <w:rsid w:val="005B21E6"/>
    <w:rsid w:val="005C0315"/>
    <w:rsid w:val="005C26AE"/>
    <w:rsid w:val="005C3E44"/>
    <w:rsid w:val="005E2028"/>
    <w:rsid w:val="00622F37"/>
    <w:rsid w:val="00625A78"/>
    <w:rsid w:val="00642793"/>
    <w:rsid w:val="00661B26"/>
    <w:rsid w:val="00674471"/>
    <w:rsid w:val="006B0CDC"/>
    <w:rsid w:val="006E50F8"/>
    <w:rsid w:val="00724ADD"/>
    <w:rsid w:val="00732F11"/>
    <w:rsid w:val="00756AC8"/>
    <w:rsid w:val="007702B2"/>
    <w:rsid w:val="00770D27"/>
    <w:rsid w:val="00792713"/>
    <w:rsid w:val="007A29C0"/>
    <w:rsid w:val="007C5DCB"/>
    <w:rsid w:val="007D3441"/>
    <w:rsid w:val="007D3D55"/>
    <w:rsid w:val="007D7301"/>
    <w:rsid w:val="007E5F65"/>
    <w:rsid w:val="007F64D7"/>
    <w:rsid w:val="00840AFF"/>
    <w:rsid w:val="008508DF"/>
    <w:rsid w:val="00852E23"/>
    <w:rsid w:val="008A7DB0"/>
    <w:rsid w:val="008B2A87"/>
    <w:rsid w:val="008C195C"/>
    <w:rsid w:val="008D453B"/>
    <w:rsid w:val="008F1DC9"/>
    <w:rsid w:val="00914A89"/>
    <w:rsid w:val="00916330"/>
    <w:rsid w:val="00991974"/>
    <w:rsid w:val="009B3884"/>
    <w:rsid w:val="009B75AB"/>
    <w:rsid w:val="009C70A9"/>
    <w:rsid w:val="009D166A"/>
    <w:rsid w:val="009D5401"/>
    <w:rsid w:val="009E4B5A"/>
    <w:rsid w:val="009E6138"/>
    <w:rsid w:val="009E6950"/>
    <w:rsid w:val="00A14BDF"/>
    <w:rsid w:val="00A20FCD"/>
    <w:rsid w:val="00A247DA"/>
    <w:rsid w:val="00A25F3B"/>
    <w:rsid w:val="00A3017C"/>
    <w:rsid w:val="00A46FA1"/>
    <w:rsid w:val="00A47785"/>
    <w:rsid w:val="00AA3F16"/>
    <w:rsid w:val="00AB436A"/>
    <w:rsid w:val="00AF13C6"/>
    <w:rsid w:val="00B0311E"/>
    <w:rsid w:val="00B17D92"/>
    <w:rsid w:val="00B723CC"/>
    <w:rsid w:val="00B772D4"/>
    <w:rsid w:val="00B854B8"/>
    <w:rsid w:val="00BC2473"/>
    <w:rsid w:val="00BC43E7"/>
    <w:rsid w:val="00C03A5C"/>
    <w:rsid w:val="00C21693"/>
    <w:rsid w:val="00C269F8"/>
    <w:rsid w:val="00C27B3C"/>
    <w:rsid w:val="00C36B30"/>
    <w:rsid w:val="00C4436D"/>
    <w:rsid w:val="00C61A94"/>
    <w:rsid w:val="00C93C7A"/>
    <w:rsid w:val="00CB029B"/>
    <w:rsid w:val="00CB16DA"/>
    <w:rsid w:val="00CD54F9"/>
    <w:rsid w:val="00CD7491"/>
    <w:rsid w:val="00CF3780"/>
    <w:rsid w:val="00D42478"/>
    <w:rsid w:val="00D44C6C"/>
    <w:rsid w:val="00D46487"/>
    <w:rsid w:val="00D91223"/>
    <w:rsid w:val="00DA632C"/>
    <w:rsid w:val="00DD21EB"/>
    <w:rsid w:val="00DF446E"/>
    <w:rsid w:val="00E26BF5"/>
    <w:rsid w:val="00E26D62"/>
    <w:rsid w:val="00E3613E"/>
    <w:rsid w:val="00E42CDC"/>
    <w:rsid w:val="00E50E0B"/>
    <w:rsid w:val="00E5303D"/>
    <w:rsid w:val="00E53B00"/>
    <w:rsid w:val="00E7319D"/>
    <w:rsid w:val="00EA4411"/>
    <w:rsid w:val="00EC329D"/>
    <w:rsid w:val="00ED4DCC"/>
    <w:rsid w:val="00F003D0"/>
    <w:rsid w:val="00F14240"/>
    <w:rsid w:val="00F148EC"/>
    <w:rsid w:val="00F33126"/>
    <w:rsid w:val="00F41848"/>
    <w:rsid w:val="00F43E8C"/>
    <w:rsid w:val="00F641E4"/>
    <w:rsid w:val="00F700EC"/>
    <w:rsid w:val="00F8533C"/>
    <w:rsid w:val="00F93AB2"/>
    <w:rsid w:val="00FF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C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436C"/>
    <w:pPr>
      <w:keepNext/>
      <w:autoSpaceDE/>
      <w:autoSpaceDN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27436C"/>
    <w:pPr>
      <w:keepNext/>
      <w:autoSpaceDE/>
      <w:autoSpaceDN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link w:val="a4"/>
    <w:uiPriority w:val="99"/>
    <w:qFormat/>
    <w:rsid w:val="0027436C"/>
    <w:pPr>
      <w:autoSpaceDE/>
      <w:autoSpaceDN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="Cambria" w:eastAsia="Times New Roman" w:hAnsi="Cambria" w:cs="Times New Roman"/>
      <w:sz w:val="24"/>
      <w:szCs w:val="24"/>
    </w:rPr>
  </w:style>
  <w:style w:type="table" w:styleId="a5">
    <w:name w:val="Table Grid"/>
    <w:basedOn w:val="a1"/>
    <w:uiPriority w:val="59"/>
    <w:rsid w:val="002E76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3A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73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DCF9-7168-41D8-8D5A-25EB35B8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Company>Организация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 ДЕПУТАТОВ</dc:title>
  <dc:creator>ConsultantPlus</dc:creator>
  <cp:lastModifiedBy>3</cp:lastModifiedBy>
  <cp:revision>2</cp:revision>
  <cp:lastPrinted>2018-12-05T04:26:00Z</cp:lastPrinted>
  <dcterms:created xsi:type="dcterms:W3CDTF">2018-12-17T06:34:00Z</dcterms:created>
  <dcterms:modified xsi:type="dcterms:W3CDTF">2018-12-17T06:34:00Z</dcterms:modified>
</cp:coreProperties>
</file>