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F354D3">
        <w:rPr>
          <w:rFonts w:ascii="Times New Roman" w:hAnsi="Times New Roman" w:cs="Times New Roman"/>
        </w:rPr>
        <w:t>посел</w:t>
      </w:r>
      <w:r w:rsidR="00F36F86">
        <w:rPr>
          <w:rFonts w:ascii="Times New Roman" w:hAnsi="Times New Roman" w:cs="Times New Roman"/>
        </w:rPr>
        <w:t>к</w:t>
      </w:r>
      <w:r w:rsidR="00F354D3">
        <w:rPr>
          <w:rFonts w:ascii="Times New Roman" w:hAnsi="Times New Roman" w:cs="Times New Roman"/>
        </w:rPr>
        <w:t>а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5. Проведение просветительской работы  среди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79236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491E88">
              <w:rPr>
                <w:rFonts w:ascii="Times New Roman" w:hAnsi="Times New Roman" w:cs="Times New Roman"/>
                <w:sz w:val="28"/>
                <w:szCs w:val="28"/>
              </w:rPr>
              <w:t>11 646,68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491E88">
              <w:rPr>
                <w:rFonts w:ascii="Times New Roman" w:hAnsi="Times New Roman" w:cs="Times New Roman"/>
                <w:sz w:val="28"/>
                <w:szCs w:val="28"/>
              </w:rPr>
              <w:t xml:space="preserve">4253,28 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290B9E">
              <w:rPr>
                <w:rFonts w:ascii="Times New Roman" w:hAnsi="Times New Roman" w:cs="Times New Roman"/>
                <w:sz w:val="28"/>
                <w:szCs w:val="28"/>
              </w:rPr>
              <w:t>3780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3612,7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91E88">
              <w:rPr>
                <w:rFonts w:ascii="Times New Roman" w:hAnsi="Times New Roman" w:cs="Times New Roman"/>
                <w:sz w:val="28"/>
                <w:szCs w:val="28"/>
              </w:rPr>
              <w:t>11 646,68</w:t>
            </w:r>
            <w:r w:rsidR="00290B9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A4B54" w:rsidRPr="007A4B54" w:rsidRDefault="00EA2350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год- </w:t>
            </w:r>
            <w:r w:rsidR="00491E88">
              <w:rPr>
                <w:rFonts w:ascii="Times New Roman" w:hAnsi="Times New Roman" w:cs="Times New Roman"/>
                <w:sz w:val="28"/>
                <w:szCs w:val="28"/>
              </w:rPr>
              <w:t>4253,28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4B54" w:rsidRPr="007A4B54" w:rsidRDefault="00290B9E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год-3780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,7тыс</w:t>
            </w:r>
            <w:proofErr w:type="gramStart"/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Pr="007A4B54" w:rsidRDefault="007A4B54" w:rsidP="004D679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год-3612,7тыс</w:t>
            </w:r>
            <w:proofErr w:type="gramStart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792367">
        <w:rPr>
          <w:rFonts w:ascii="Times New Roman" w:eastAsia="Calibri" w:hAnsi="Times New Roman" w:cs="Times New Roman"/>
          <w:sz w:val="28"/>
          <w:szCs w:val="28"/>
        </w:rPr>
        <w:t>01.01.2014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</w:t>
      </w:r>
      <w:r w:rsidR="00111319" w:rsidRPr="00111319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2013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</w:t>
            </w:r>
            <w:proofErr w:type="gramStart"/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улучшения уровня благоустройства территории </w:t>
            </w:r>
            <w:r w:rsidR="00F354D3">
              <w:rPr>
                <w:rFonts w:ascii="Times New Roman" w:hAnsi="Times New Roman" w:cs="Times New Roman"/>
                <w:sz w:val="24"/>
                <w:szCs w:val="24"/>
              </w:rPr>
              <w:t xml:space="preserve"> посел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3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79466E" w:rsidRDefault="00887CDA" w:rsidP="00774963">
            <w:pPr>
              <w:spacing w:after="0"/>
              <w:jc w:val="both"/>
            </w:pPr>
            <w:r>
              <w:t>3038,0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</w:t>
            </w:r>
            <w:r w:rsidR="006258FE">
              <w:t>61,3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40A" w:rsidRDefault="00C87315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8350,7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эксплуатация и обслуживание дренажной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</w:t>
            </w:r>
            <w:r>
              <w:lastRenderedPageBreak/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5181E" w:rsidRDefault="00887CDA" w:rsidP="00774963">
            <w:pPr>
              <w:spacing w:after="0"/>
              <w:jc w:val="both"/>
            </w:pPr>
            <w:r>
              <w:t>402,8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C87315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</w:t>
            </w:r>
            <w:r w:rsidR="00E50D3B" w:rsidRPr="00683E8C">
              <w:rPr>
                <w:rFonts w:ascii="Times New Roman" w:hAnsi="Times New Roman" w:cs="Times New Roman"/>
              </w:rPr>
              <w:lastRenderedPageBreak/>
              <w:t>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C810DA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 w:rsidR="00AD3A8F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E5181E" w:rsidRDefault="00887CDA" w:rsidP="000F422A">
            <w:pPr>
              <w:spacing w:after="0"/>
              <w:jc w:val="both"/>
            </w:pPr>
            <w:r>
              <w:t>494,0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E5181E" w:rsidRDefault="00C87315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</w:t>
            </w:r>
            <w:r w:rsidR="00AD3A8F">
              <w:rPr>
                <w:rFonts w:ascii="Times New Roman" w:eastAsia="Times New Roman" w:hAnsi="Times New Roman" w:cs="Times New Roman"/>
                <w:lang w:eastAsia="ru-RU"/>
              </w:rPr>
              <w:t>т на санитарно-эпидемиологическу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3A8F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A8F" w:rsidRDefault="00AD3A8F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C25C61" w:rsidP="000F422A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0110915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19,23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A8F" w:rsidRDefault="00812338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A8F" w:rsidRPr="00683E8C" w:rsidRDefault="00AD3A8F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7B1787" w:rsidP="00774963">
            <w:pPr>
              <w:spacing w:after="0"/>
              <w:jc w:val="both"/>
            </w:pPr>
            <w:r>
              <w:t>194,0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81233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  <w:r w:rsidR="00E5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C810DA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887CDA" w:rsidP="00774963">
            <w:pPr>
              <w:spacing w:after="0"/>
              <w:jc w:val="both"/>
            </w:pPr>
            <w:r>
              <w:t>76,5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25,5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C87315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046C23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23" w:rsidRPr="00AD201B" w:rsidRDefault="00046C23" w:rsidP="00046C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046C23" w:rsidRDefault="00046C23" w:rsidP="00046C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Приобретение металлоконструкции автобусной остановки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6C23" w:rsidRDefault="00046C23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0110917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28,75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C23" w:rsidRDefault="00046C23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C23" w:rsidRPr="00CB56F1" w:rsidRDefault="00046C23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</w:t>
            </w: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046C23" w:rsidP="00774963">
            <w:pPr>
              <w:spacing w:after="0"/>
              <w:jc w:val="both"/>
            </w:pPr>
            <w:r>
              <w:t>4253,28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3780,7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3612,7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E5181E" w:rsidRDefault="0081233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4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46C2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42EC"/>
    <w:rsid w:val="00357822"/>
    <w:rsid w:val="00363D8A"/>
    <w:rsid w:val="0037195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1E88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17D9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3475"/>
    <w:rsid w:val="00834EA0"/>
    <w:rsid w:val="00840AFD"/>
    <w:rsid w:val="0085383F"/>
    <w:rsid w:val="00867B3A"/>
    <w:rsid w:val="00877923"/>
    <w:rsid w:val="00882031"/>
    <w:rsid w:val="00887CDA"/>
    <w:rsid w:val="008A3CD0"/>
    <w:rsid w:val="008A67F5"/>
    <w:rsid w:val="008C634D"/>
    <w:rsid w:val="008E0264"/>
    <w:rsid w:val="008E163D"/>
    <w:rsid w:val="008E1AD7"/>
    <w:rsid w:val="0090025C"/>
    <w:rsid w:val="00906154"/>
    <w:rsid w:val="00907149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0478"/>
    <w:rsid w:val="00A92EC2"/>
    <w:rsid w:val="00A9330F"/>
    <w:rsid w:val="00A95E18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E58FC"/>
    <w:rsid w:val="00BF5D71"/>
    <w:rsid w:val="00C16AA1"/>
    <w:rsid w:val="00C25C61"/>
    <w:rsid w:val="00C302EF"/>
    <w:rsid w:val="00C37249"/>
    <w:rsid w:val="00C40230"/>
    <w:rsid w:val="00C51467"/>
    <w:rsid w:val="00C5164B"/>
    <w:rsid w:val="00C650C1"/>
    <w:rsid w:val="00C74434"/>
    <w:rsid w:val="00C74609"/>
    <w:rsid w:val="00C810DA"/>
    <w:rsid w:val="00C83AF4"/>
    <w:rsid w:val="00C8660A"/>
    <w:rsid w:val="00C87315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25C9B"/>
    <w:rsid w:val="00F30DBF"/>
    <w:rsid w:val="00F354D3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C01B1-135A-4D26-9EDC-C865619B7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11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218</cp:revision>
  <cp:lastPrinted>2015-11-24T03:14:00Z</cp:lastPrinted>
  <dcterms:created xsi:type="dcterms:W3CDTF">2013-09-03T05:28:00Z</dcterms:created>
  <dcterms:modified xsi:type="dcterms:W3CDTF">2015-11-24T03:14:00Z</dcterms:modified>
</cp:coreProperties>
</file>